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المعتمر إذا طاف طواف العمرة-كتاب الحجّ-صحيح البخاري — رقم الحديث: 1788 — الرقم الفرعي: 99 — الرقم الأصلي: 1788</w:t>
        <w:br/>
      </w:r>
      <w:r>
        <w:rPr>
          <w:rtl w:val="1"/>
        </w:rPr>
        <w:t xml:space="preserve"> حدثنا أبو نُعيم حدثنا أفلح بن حميد عن القاسم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خَرَجْنا مُهِلِّينَ بالحجِّ في أشهُرِ الحجِّ وحُرُمِ الحجِّ،  </w:t>
      </w:r>
      <w:r>
        <w:rPr>
          <w:color w:val="000000"/>
          <w:rtl w:val="1"/>
        </w:rPr>
        <w:t xml:space="preserve">فنَزَلْنا سَرِفَ فقال النبيُّ ﷺ لأصحابه: «مَن لم يَكُنْ معه هَدْيٌ، فأحبَّ أنْ يَجعَلَها عُمْرةً فليَفْعَلْ، ومَن كان معه هَدْيٌ فلا».  </w:t>
      </w:r>
      <w:r>
        <w:rPr>
          <w:color w:val="000000"/>
          <w:rtl w:val="1"/>
        </w:rPr>
        <w:t xml:space="preserve">وكان معَ النبيِّ ﷺ ورجالٍ من أصحابِه ذَوِي قُوّةٍ الهَدْيُ، فلم تَكُنْ لهم عُمْرةً،  </w:t>
      </w:r>
      <w:r>
        <w:rPr>
          <w:color w:val="FF0000"/>
          <w:rtl w:val="1"/>
        </w:rPr>
        <w:t xml:space="preserve">فدَخَلَ عليَّ النبيُّ ﷺ وأنا أبكي فقال: «ما يُبْكِيكِ؟» قلتُ: سمعتُكَ تقولُ لأصحابِكَ ما قلتَ، فمُنِعْتُ العُمْرةَ، قال: «وما شأنُكِ؟» قلتُ: لا أُصَلّي،  </w:t>
      </w:r>
      <w:r>
        <w:rPr>
          <w:color w:val="FF0000"/>
          <w:rtl w:val="1"/>
        </w:rPr>
        <w:t xml:space="preserve">قال: «فلا يَضُرَّكِ، أنتِ من بناتِ آدمَ، كُتِبَ عليكِ ما كُتِبَ عليهنَّ، فكُوني في حَجَّتِكِ عسى اللهُ أنْ يَرْزُقَكِها».  </w:t>
      </w:r>
      <w:r>
        <w:rPr>
          <w:color w:val="FF0000"/>
          <w:rtl w:val="1"/>
        </w:rPr>
        <w:t xml:space="preserve">قالت: فكنتُ حتَّى نَفَرْنا من مِنًى، فنَزَلْنا المُحَصَّبَ،  </w:t>
      </w:r>
      <w:r>
        <w:rPr>
          <w:color w:val="FF0000"/>
          <w:rtl w:val="1"/>
        </w:rPr>
        <w:t xml:space="preserve">فدَعَا عبدَ الرَّحمنِ فقال: «اخرُجْ بأُختِكَ الحَرَمَ، فلْتُهِلَّ بعُمْرةٍ، ثمَّ افرُغا من طَوافِكُما أنتَظِرْكُما هاهُنا». فأتينا في جَوْفِ اللَّيلِ، فقال: «فرَغْتُما؟» قلتُ: نعم.  </w:t>
      </w:r>
      <w:r>
        <w:rPr>
          <w:color w:val="FF0000"/>
          <w:rtl w:val="1"/>
        </w:rPr>
        <w:t xml:space="preserve">فنادَى بالرَّحِيلِ في أصحابِه، فارتَحلَ النّاسُ ومَن طافَ بالبيتِ قبلَ صلاةِ الصُّبحِ، ثمَّ خَرَجَ مُوَجِّهًا إلى المدينة. </w:t>
      </w:r>
    </w:p>
    <w:p>
      <w:pPr>
        <w:bidi w:val="1"/>
        <w:jc w:val="start"/>
      </w:pPr>
      <w:r>
        <w:rPr>
          <w:rtl w:val="1"/>
        </w:rPr>
        <w:t>الشرح: الدلالة: ساعة الوداع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قصة عائشة رضي الله عنها في الحج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منزله صلى الله عليه وسلم بعد الانتهاء من أعمال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