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23390 — الرقم الفرعي: 99 — الرقم الأصلي: 23390</w:t>
        <w:br/>
      </w:r>
      <w:r>
        <w:rPr>
          <w:rtl w:val="1"/>
        </w:rPr>
        <w:t xml:space="preserve"> حدثنا وكيع عن سفيان عن عطاء بن السائب عن أبي البختريّ قال:قال حذيفة</w:t>
        <w:br/>
      </w:r>
      <w:r>
        <w:rPr>
          <w:color w:val="FF0000"/>
          <w:rtl w:val="1"/>
        </w:rPr>
        <w:t xml:space="preserve">كان أَصحابُ النّبيِّ ﷺ يَسألونَه عن الخَير، وكنتُ أَسألُه عن الشَّرّ.  </w:t>
      </w:r>
      <w:r>
        <w:rPr>
          <w:color w:val="FF0000"/>
          <w:rtl w:val="1"/>
        </w:rPr>
        <w:t xml:space="preserve">قيل: لِمَ فعلتَ ذلك؟ قال: مَن اتَّقى الشَّرَّ، وقَعَ في الخَير.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الفصل الأول: تعلم أحاديث الفتن - التحذير من الفتن والحض على تعلم أَحاديثها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