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كانت الآخرة همّه جاءته الدنيا راغمة-كتاب صفة القيامة-سنن الترمذي — رقم الحديث: 2465 — الرقم الفرعي: 99 — الرقم الأصلي: 2467</w:t>
        <w:br/>
      </w:r>
      <w:r>
        <w:rPr>
          <w:rtl w:val="1"/>
        </w:rPr>
        <w:t xml:space="preserve"> حدثنا هنّاد حدثنا وكيع عن الربيع بن صَبيح عن يزيد بن ابان ملاحظة وهو الرّقاشيّ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كانت الآخِرةُ هَمَّه، جعَلَ اللهُ غِناهُ في قَلبِه، وجَمَعَ له شَمْلَه، وأتتْهُ الدُّنيا وهي راغِمَة،  </w:t>
      </w:r>
      <w:r>
        <w:rPr>
          <w:color w:val="000000"/>
          <w:rtl w:val="1"/>
        </w:rPr>
        <w:t xml:space="preserve">ومَن كانت الدُّنيا هَمَّه، جعَلَ اللهُ فَقْرَه بينَ عَينَيه، وفرَّق عليه شَمْلَه، ولم يَأتِه مِن الدُّنيا إلَّا ما قُدِّر له».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