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ما لقي النبيّ صلى الله عليه وسلم،وأصحابه من المشركين،بمكة-كتاب المناقب-صحيح البخاري — رقم الحديث: 3852 — الرقم الفرعي: 99 — الرقم الأصلي: 3852</w:t>
        <w:br/>
      </w:r>
      <w:r>
        <w:rPr>
          <w:rtl w:val="1"/>
        </w:rPr>
        <w:t xml:space="preserve"> حدثنا الحُميديّ حدثنا سفيان و إسماعيل قالا:سمعنا قيساً يقول:سمعت خباباً</w:t>
        <w:br/>
      </w:r>
      <w:r>
        <w:rPr>
          <w:color w:val="FF0000"/>
          <w:rtl w:val="1"/>
        </w:rPr>
        <w:t xml:space="preserve">يقولُ: أتيتُ النبيَّ ﷺ وهو مُتَوَسِّدٌ بُرْدةً وهو في ظِلِّ الكَعْبةِ، وقد لَقِينا منَ المشركينَ شِدّةً، فقلتُ: ألا تَدْعُو اللهَ؟  </w:t>
      </w:r>
      <w:r>
        <w:rPr>
          <w:color w:val="FF0000"/>
          <w:rtl w:val="1"/>
        </w:rPr>
        <w:t xml:space="preserve">فقَعَدَ وهو مُحمَرٌّ وجهُه  </w:t>
      </w:r>
      <w:r>
        <w:rPr>
          <w:color w:val="FF0000"/>
          <w:rtl w:val="1"/>
        </w:rPr>
        <w:t xml:space="preserve">فقال: «لقد كانَ مَن قبلَكم لَيُمْشَطُ بمِشَاطِ الحديدِ ما دونَ عِظامِه من لحمٍ أو عَصَبٍ، ما يَصْرِفُه ذلكَ عن دِينِه، ويُوضَعُ المِنْشارُ على مَفْرِقِ رأسِه، فيُشَقُّ باثنَينِ ما يَصْرِفُه ذلكَ عن دِينِه،  </w:t>
      </w:r>
      <w:r>
        <w:rPr>
          <w:color w:val="FF0000"/>
          <w:rtl w:val="1"/>
        </w:rPr>
        <w:t xml:space="preserve">ولَيُتِمَّنَّ اللهُ هذا الأمرَ، حتَّى يسيرَ الرّاكِبُ من صَنْعاءَ إلى حَضْرَموتَ، ما يخافُ إلَّا اللهَ»،  </w:t>
      </w:r>
      <w:r>
        <w:rPr>
          <w:color w:val="000000"/>
          <w:rtl w:val="1"/>
        </w:rPr>
        <w:t xml:space="preserve">زادَ بَيانٌ: «والذِّئْبَ على غَنَمِه». </w:t>
      </w:r>
    </w:p>
    <w:p>
      <w:pPr>
        <w:bidi w:val="1"/>
        <w:jc w:val="start"/>
      </w:pPr>
      <w:r>
        <w:rPr>
          <w:rtl w:val="1"/>
        </w:rPr>
        <w:t xml:space="preserve">الشرح: الدلالة: ظهور الغضب على وجهه ﷺ - غضب النبي ﷺ </w:t>
      </w:r>
    </w:p>
    <w:p>
      <w:pPr>
        <w:bidi w:val="1"/>
        <w:jc w:val="start"/>
      </w:pPr>
      <w:r>
        <w:rPr>
          <w:rtl w:val="1"/>
        </w:rPr>
        <w:t xml:space="preserve">الشرح: الدلالة: ثقته ﷺ بالله وتوكله عليه في ظهور الإسلام وانتصاره - يقينه ﷺ بالله عز وجل وتوكله عليه وثقته به </w:t>
      </w:r>
    </w:p>
    <w:p>
      <w:pPr>
        <w:bidi w:val="1"/>
        <w:jc w:val="start"/>
      </w:pPr>
      <w:r>
        <w:rPr>
          <w:rtl w:val="1"/>
        </w:rPr>
        <w:t xml:space="preserve">الشرح: الدلالة: وعظه ﷺ للصحابة وعظًا خاصًا - أمرُ النبيِّ ﷺ بالمعروفِ ونهيُه عن المُنكر </w:t>
      </w:r>
    </w:p>
    <w:p>
      <w:pPr>
        <w:bidi w:val="1"/>
        <w:jc w:val="start"/>
      </w:pPr>
      <w:r>
        <w:rPr>
          <w:rtl w:val="1"/>
        </w:rPr>
        <w:t>الشرح: الدلالة: حقه في حرية التنقل - حق العيش الكريم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