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63 — الرقم الفرعي: 99 — الرقم الأصلي: 63 — ج: 1 — ص: 10</w:t>
        <w:br/>
      </w:r>
      <w:r>
        <w:rPr>
          <w:rtl w:val="1"/>
        </w:rPr>
        <w:t xml:space="preserve"> حدثنا عفّان قال:حدثنا شعبة عن يعلى بن عطاء قال:سمعت عمرو بن عاصم بن عبد الله قال:سمعت أبا هريرة يقول:قال أبو بكر</w:t>
        <w:br/>
      </w:r>
      <w:r>
        <w:rPr>
          <w:color w:val="000000"/>
          <w:rtl w:val="1"/>
        </w:rPr>
        <w:t xml:space="preserve">يَا رَسُولَ اللهِ، قُلْ لي شَيْئًا أقُولُهُ إِذَا أَصْبَحْتُ وَإِذَا أَمْسَيْتُ، قَالَ: «قُلِ: اللهُمَّ عَالِمَ الْغَيْبِ وَالشَّهَادَةِ، فَاطِرَ السَّمَاواتِ وَالْأَرْضِ،  </w:t>
      </w:r>
      <w:r>
        <w:rPr>
          <w:color w:val="000000"/>
          <w:rtl w:val="1"/>
        </w:rPr>
        <w:t xml:space="preserve">رَبَّ كُلِّ شَيْءٍ وَمَلِيكَهُ، أَشْهَدُ أَنْ لَا إِلَهَ إِلَّا أَنْتَ، أَعُوذُ بِكَ مِنْ شَرِّ نَفْسِي، وَمِنْ شَرِّ الشَّيْطَانِ وَشِرْكِهِ» وَأَمَرَهُ أَنْ يَقُولَهُ إِذَا أَصْبَحَ وَإِذَا أَمْسَى، وَإِذَا أَخَذَ مَضْجَعَهُ.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