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الانتفاع بالعاج-كتاب الترجل-سنن أبي داود — رقم الحديث: 4213 — الرقم الفرعي: 99 — الرقم الأصلي: 4213</w:t>
        <w:br/>
      </w:r>
      <w:r>
        <w:rPr>
          <w:rtl w:val="1"/>
        </w:rPr>
        <w:t xml:space="preserve"> حدثنا مُسدد ثنا عبد الوارث بن سعيد عن محمد بن جحادة عن حميد الشامي عن سليمان المنبهي عن ثوبان ملاحظة مولى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رسولُ الله ﷺ إذا سافَرَ كان آخِرَ عهدِه بإنسانٍ من أهلِه فاطمةُ، وأوّلَ ما - أو مَن - يدخُلُ عليها إذا قدِمَ فاطمةُ،  </w:t>
      </w:r>
      <w:r>
        <w:rPr>
          <w:color w:val="FF0000"/>
          <w:rtl w:val="1"/>
        </w:rPr>
        <w:t xml:space="preserve">فَقَدِمَ مِن غَزَاةٍ له، وقد علَّقَتْ مِسْحًا - أو سِترًا - على بابِها، وحلَّتِ الحسَنَ والحُسينَ قُلْبَينِ مِن فِضَّة، فقَدِمَ فلم يدخُلْ،  </w:t>
      </w:r>
      <w:r>
        <w:rPr>
          <w:color w:val="000000"/>
          <w:rtl w:val="1"/>
        </w:rPr>
        <w:t xml:space="preserve">فظنَّتْ أنّه إنّما منَعَه أن يدخُلَ ما رأى، فهَتكَتِ السِّترَ، وفكَّكَتِ القُلْبَينِ عن الصَّبِيَّين، وقَطَعَتْه منهما،  </w:t>
      </w:r>
      <w:r>
        <w:rPr>
          <w:color w:val="FF0000"/>
          <w:rtl w:val="1"/>
        </w:rPr>
        <w:t xml:space="preserve">فانطَلَقا إلى رسولِ الله ﷺ وهما يبكِيانِ، فأخَذَه منهما، وقال: «يا ثَوبانُ، اذهبْ بهذا إلى آلِ فُلانٍ - قال: - أهلِ بيتٍ بالمدينة،  </w:t>
      </w:r>
      <w:r>
        <w:rPr>
          <w:color w:val="FF0000"/>
          <w:rtl w:val="1"/>
        </w:rPr>
        <w:t xml:space="preserve">إنَّ هؤلاءِ أهلُ بَيتِي أكرَهُ أن يأكُلوا طيِّباتِهم في حياتِهمُ الدُّنيا،  </w:t>
      </w:r>
      <w:r>
        <w:rPr>
          <w:color w:val="FF0000"/>
          <w:rtl w:val="1"/>
        </w:rPr>
        <w:t xml:space="preserve">يا ثَوبانُ، اشتَرِ لِفاطمةَ قِلادَةً من عَصَبٍ، وسِوارَين من عاج».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الدنيا على الآخرة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مناقب ذرية علي كرم الله وجهه -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بنات النبي صلى الله عليه وسلم - مناقب النساء|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التحلي بالفضة - التحلي بغير الذهب</w:t>
      </w:r>
    </w:p>
    <w:p>
      <w:pPr>
        <w:bidi w:val="1"/>
        <w:jc w:val="start"/>
      </w:pPr>
      <w:r>
        <w:rPr>
          <w:rtl w:val="1"/>
        </w:rPr>
        <w:t>الشرح: الدلالة: اتخاذ الستور - الفرش والستور</w:t>
      </w:r>
    </w:p>
    <w:p>
      <w:pPr>
        <w:bidi w:val="1"/>
        <w:jc w:val="start"/>
      </w:pPr>
      <w:r>
        <w:rPr>
          <w:rtl w:val="1"/>
        </w:rPr>
        <w:t>الشرح: الدلالة: سلطان المربي والمعلم - الضبط الاجتماعي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 xml:space="preserve">الشرح: الدلالة: ثوبان، رضي الله عنه - مواليه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