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لعق الأصابع والقصعة،وأكل اللقمة الساقطة بعد مسح ما يصيبها-كتاب الأشربة-صحيح مسلم — رقم الحديث: 2035 — الرقم الفرعي: 99 — الرقم الأصلي: 2035</w:t>
        <w:br/>
      </w:r>
      <w:r>
        <w:rPr>
          <w:rtl w:val="1"/>
        </w:rPr>
        <w:t xml:space="preserve"> وحدثني محمد بن حاتم حدثنا بَهْز حدثنا وُهَيْب حدثنا سهيل عن أبيه عن أبي هُريرةَ، عن النّبيِّ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أَكلَ أَحدُكم فلْيَلْعقَ أَصابعَه، فإنّه لا يَدرِي في أيَّتِهنَّ البَرَكة». 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لعق الأصابع والصحفة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