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خير مال المسلم غنمٌ-كتاب بدء الخلق-صحيح البخاري — رقم الحديث: 3302 — الرقم الفرعي: 99 — الرقم الأصلي: 3302</w:t>
        <w:br/>
      </w:r>
      <w:r>
        <w:rPr>
          <w:rtl w:val="1"/>
        </w:rPr>
        <w:t xml:space="preserve"> حدثنا مُسَدّد حدثنا يحيى عن إسماعيل قال:حدثني قيس عن عقبة بن عمرو،أبي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أشارَ رسولُ الله ﷺ بيدِه نحوَ اليَمَنِ، فقال: «الإيمانُ يَمانٍ هاهُنا،  </w:t>
      </w:r>
      <w:r>
        <w:rPr>
          <w:color w:val="FF0000"/>
          <w:rtl w:val="1"/>
        </w:rPr>
        <w:t xml:space="preserve">ألَا إنَّ القَسْوةَ وغِلَظَ القلوبِ في الفَدّادِينَ عندَ أُصولِ أذناب الإبلِ، حيثُ يَطلُعُ قَرْنا الشَّيطانِ في رَبِيعةَ ومُضَرَ».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اليمن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سلطان الثقافة والعرف والعادة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