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أدنى أهل الجنة منزلة فيها-كتاب الإيمان-صحيح مسلم — رقم الحديث: 194 — الرقم الفرعي: 2 — الرقم الأصلي: 194</w:t>
        <w:br/>
      </w:r>
      <w:r>
        <w:rPr>
          <w:rtl w:val="1"/>
        </w:rPr>
        <w:t xml:space="preserve"> وحدثني زهير بن حرب حدثنا جرير عن عمارة بن القعقاع عن أبي زُرعة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وُضِعَتْ بينَ يَدَي رَسولِ الله ﷺ قَصْعةٌ مِن ثَريدٍ ولَحْم،  </w:t>
      </w:r>
      <w:r>
        <w:rPr>
          <w:color w:val="000000"/>
          <w:rtl w:val="1"/>
        </w:rPr>
        <w:t xml:space="preserve">فتَناولَ الذِّراع - وكانت أَحبَّ الشَّاةِ إليه –  </w:t>
      </w:r>
      <w:r>
        <w:rPr>
          <w:color w:val="000000"/>
          <w:rtl w:val="1"/>
        </w:rPr>
        <w:t xml:space="preserve">فنَهَسَ نَهْسةً،  </w:t>
      </w:r>
      <w:r>
        <w:rPr>
          <w:color w:val="000000"/>
          <w:rtl w:val="1"/>
        </w:rPr>
        <w:t xml:space="preserve">فقال: «أَنا سيِّدُ الناس يومَ القِيامة»،  </w:t>
      </w:r>
      <w:r>
        <w:rPr>
          <w:color w:val="000000"/>
          <w:rtl w:val="1"/>
        </w:rPr>
        <w:t xml:space="preserve">ثم نَهَسَ أُخرى،  </w:t>
      </w:r>
      <w:r>
        <w:rPr>
          <w:color w:val="000000"/>
          <w:rtl w:val="1"/>
        </w:rPr>
        <w:t xml:space="preserve">فقال: «أَنا سيِّدُ الناس يومَ القِيامة»،  </w:t>
      </w:r>
      <w:r>
        <w:rPr>
          <w:color w:val="000000"/>
          <w:rtl w:val="1"/>
        </w:rPr>
        <w:t xml:space="preserve">فلمَّا رأَى أَصحابَه لا يَسألونَه، قال: «أَلا تَقولونَ كَيْفَه؟»  </w:t>
      </w:r>
      <w:r>
        <w:rPr>
          <w:color w:val="000000"/>
          <w:rtl w:val="1"/>
        </w:rPr>
        <w:t xml:space="preserve">قالوا: كَيْفَهُ يا رسولَ الله؟  </w:t>
      </w:r>
      <w:r>
        <w:rPr>
          <w:color w:val="000000"/>
          <w:rtl w:val="1"/>
        </w:rPr>
        <w:t xml:space="preserve">قال: قال: «يقومُ الناسُ لرَبِّ العالَمين»  </w:t>
      </w:r>
      <w:r>
        <w:rPr>
          <w:color w:val="000000"/>
          <w:rtl w:val="1"/>
        </w:rPr>
        <w:t xml:space="preserve">وساقَ الحديثَ بمعنى حديثِ أَبي حيّانَ عن أَبي زُرْعة.  </w:t>
      </w:r>
      <w:r>
        <w:rPr>
          <w:color w:val="000000"/>
          <w:rtl w:val="1"/>
        </w:rPr>
        <w:t xml:space="preserve">وزاد في قصَّةِ إبراهيمَ: فقال.  </w:t>
      </w:r>
      <w:r>
        <w:rPr>
          <w:color w:val="000000"/>
          <w:rtl w:val="1"/>
        </w:rPr>
        <w:t xml:space="preserve">وذكرَ قولَه في الكَوكب: هذا ربِّي.  </w:t>
      </w:r>
      <w:r>
        <w:rPr>
          <w:color w:val="000000"/>
          <w:rtl w:val="1"/>
        </w:rPr>
        <w:t xml:space="preserve">وقولَه لآلهَتِهم: بل فعَلَه كبيرُهم هذا.  </w:t>
      </w:r>
      <w:r>
        <w:rPr>
          <w:color w:val="000000"/>
          <w:rtl w:val="1"/>
        </w:rPr>
        <w:t xml:space="preserve">وقولَه: إنِّي سَقِيم.  </w:t>
      </w:r>
      <w:r>
        <w:rPr>
          <w:color w:val="000000"/>
          <w:rtl w:val="1"/>
        </w:rPr>
        <w:t xml:space="preserve">«والّذي نفسُ محمّدٍ بيدِه، إنَّ ما بينَ المِصراعَينِ مِن مَصارِيع الجَنّة إلى عَضَادَتَي الباب لَكَما بين مكَّةَ وهَجَر، أَو هَجَرَ ومكَّة» قال: لا أَدري أيَّ ذلك قال. </w:t>
      </w:r>
    </w:p>
    <w:p>
      <w:pPr>
        <w:bidi w:val="1"/>
        <w:jc w:val="start"/>
      </w:pPr>
      <w:r>
        <w:rPr>
          <w:rtl w:val="1"/>
        </w:rPr>
        <w:t>الشرح: الدلالة: أدوات تحضير الأطعمة وطهيها (القصاع والأقداح والجفان والأنطاع ..الخ) - طهي الأطعمة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