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الشهداء عند الله-كتاب فضائل الجهاد-سنن الترمذي — رقم الحديث: 1644 — الرقم الفرعي: 99 — الرقم الأصلي: 1644</w:t>
        <w:br/>
      </w:r>
      <w:r>
        <w:rPr>
          <w:rtl w:val="1"/>
        </w:rPr>
        <w:t xml:space="preserve"> حدثنا قتيبة حدثنا ابن لَهيعة عن عطاء بن دينار عن ابن يزيد الخولانيّ أنه سمع فَضالة بن عبيد يقول:سمعت عمر بن الخطاب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«الشُّهداءُ أَربعةٌ:  </w:t>
      </w:r>
      <w:r>
        <w:rPr>
          <w:color w:val="FF0000"/>
          <w:rtl w:val="1"/>
        </w:rPr>
        <w:t xml:space="preserve">رجلٌ مُؤمنٌ جَيِّدُ الإيمان، لَقِيَ العدوَّ، فصَدَقَ اللهَ حتّى قُتل، فذاكَ الذي يَرفعُ الناسُ إليه أَعينَهم يومَ القِيامة هكذا»  </w:t>
      </w:r>
      <w:r>
        <w:rPr>
          <w:color w:val="FF0000"/>
          <w:rtl w:val="1"/>
        </w:rPr>
        <w:t xml:space="preserve">- ورَفَع رأسَه حتّى وَقَعت ‌قَلَنسُوتُه، فمَا أَدري ‌أَقلَنسُوةَ عُمر أَرادَ أَم ‌قَلَنسُوةَ النّبيِّ ﷺ؟  </w:t>
      </w:r>
      <w:r>
        <w:rPr>
          <w:color w:val="FF0000"/>
          <w:rtl w:val="1"/>
        </w:rPr>
        <w:t xml:space="preserve">قال: «ورَجلٌ مُؤمنٌ جَيِّدُ الإيمانِ، لَقِيَ العَدوَّ، فكأنَّما ضُربَ جِلدُه بشَوكِ طَلحٍ مِن الجُبن، أَتاه سَهمٌ غَربٌ فقَتَلَه، فهو في الدَّرجةِ الثانية،  </w:t>
      </w:r>
      <w:r>
        <w:rPr>
          <w:color w:val="FF0000"/>
          <w:rtl w:val="1"/>
        </w:rPr>
        <w:t xml:space="preserve">ورَجلٌ مُؤمنٌ خَلَطَ عملًا صالِحًا وآخرَ سيِّئًا، لقيَ العَدوَّ، فصَدقَ اللهَ حتّى قُتل، فذاك في الدرجةِ الثالثة،  </w:t>
      </w:r>
      <w:r>
        <w:rPr>
          <w:color w:val="FF0000"/>
          <w:rtl w:val="1"/>
        </w:rPr>
        <w:t xml:space="preserve">ورجلٌ مُؤمنٌ أَسرفَ على نفسِه، لَقي العدوَّ، فصَدَقَ اللهَ حتّى قُتلَ، فذاكَ في الدَّرجةِ الرّابِعة». </w:t>
      </w:r>
      <w:r>
        <w:rPr>
          <w:color w:val="000000"/>
          <w:rtl w:val="1"/>
        </w:rPr>
        <w:t xml:space="preserve">هذا حديثٌ حسنٌ غريب، لا نَعرفُه إلّا من حديثِ عطاءِ بنِ دِينار. </w:t>
      </w:r>
      <w:r>
        <w:rPr>
          <w:color w:val="000000"/>
          <w:rtl w:val="1"/>
        </w:rPr>
        <w:t xml:space="preserve">سمِعتُ محمّدًا يقول: قد رَوى سعيدُ بنُ أَبي أَيوبَ هذا الحديثَ، عن عطاءِ بن دِينارٍ، عن أَشياخٍ مِن خَولان، ولم يَذكُر فيه: عن أَبي يزيد، وقال: عطاءُ بنُ دينارٍ ليسَ به بأس.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القلنسوة (ومنها الكمة)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