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يكون حرزاً وما لا يكون-كتاب قطع السارق-سنن النسائي — رقم الحديث: 4890 — الرقم الفرعي: 99 — الرقم الأصلي: 4890</w:t>
        <w:br/>
      </w:r>
      <w:r>
        <w:rPr>
          <w:rtl w:val="1"/>
        </w:rPr>
        <w:t xml:space="preserve"> أخبرني محمد بن الخليل عن شعيب بن إسحاق عن عبيد الله عن نافع</w:t>
        <w:br/>
      </w:r>
      <w:r>
        <w:rPr>
          <w:color w:val="FF0000"/>
          <w:rtl w:val="1"/>
        </w:rPr>
        <w:t xml:space="preserve">أنَّ امرأةً كانت تَستعيرُ الحُلِيَّ في زمانِ رسولِ الله ﷺ، فاستعارتْ مِن ذلك حُلِيًّا، فجَمَعتْه ثم أَمسَكَتْه.  </w:t>
      </w:r>
      <w:r>
        <w:rPr>
          <w:color w:val="FF0000"/>
          <w:rtl w:val="1"/>
        </w:rPr>
        <w:t xml:space="preserve">فقال رسولُ الله ﷺ: «لِتَتُب هذه المرأةُ وتُؤدِّي ما عندَها» مِرارً، فلم تَفعل، فأَمَرَ بها فقُطِعَت.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السرقة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عقوبة السرقة - السرقة</w:t>
      </w:r>
    </w:p>
    <w:p>
      <w:pPr>
        <w:bidi w:val="1"/>
        <w:jc w:val="start"/>
      </w:pPr>
      <w:r>
        <w:rPr>
          <w:rtl w:val="1"/>
        </w:rPr>
        <w:t>الشرح: الدلالة: إِعارة المواد والثياب والحلي وغيرها - أنواع المعار</w:t>
      </w:r>
    </w:p>
    <w:p>
      <w:pPr>
        <w:bidi w:val="1"/>
        <w:jc w:val="start"/>
      </w:pPr>
      <w:r>
        <w:rPr>
          <w:rtl w:val="1"/>
        </w:rPr>
        <w:t>الشرح: الدلالة: ضمان العارية وشروطه - العارية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