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ذكر ما يُستحبّ من الجلوس في المسجد-أبواب الصلاة-سنن الترمذي — رقم الحديث: 586 — الرقم الفرعي: 99 — الرقم الأصلي: 586</w:t>
        <w:br/>
      </w:r>
      <w:r>
        <w:rPr>
          <w:rtl w:val="1"/>
        </w:rPr>
        <w:t xml:space="preserve"> حدثنا عبد الله بن معاوية الجُمَحيّ البصريّ حدثنا عبد العزيز بن مسلم حدثنا أبو ظِلال عن أنس بن مالك قال:قال رسول الله صلى الله عليه وسلم</w:t>
        <w:br/>
      </w:r>
      <w:r>
        <w:rPr>
          <w:color w:val="FF0000"/>
          <w:rtl w:val="1"/>
        </w:rPr>
        <w:t xml:space="preserve">«مَن صَلَّى الغَداةَ في جَماعةٍ، </w:t>
      </w:r>
      <w:r>
        <w:rPr>
          <w:color w:val="FF0000"/>
          <w:rtl w:val="1"/>
        </w:rPr>
        <w:t xml:space="preserve">ثم قَعَدَ يَذكُرُ اللهَ حتى تَطلُعَ الشَّمسُ، </w:t>
      </w:r>
      <w:r>
        <w:rPr>
          <w:color w:val="FF0000"/>
          <w:rtl w:val="1"/>
        </w:rPr>
        <w:t xml:space="preserve">ثُم صَلَّى رَكعَتَين، </w:t>
      </w:r>
      <w:r>
        <w:rPr>
          <w:color w:val="FF0000"/>
          <w:rtl w:val="1"/>
        </w:rPr>
        <w:t xml:space="preserve">كانت له كأَجرِ حَجَّةٍ وعُمرةٍ». قال: قالَ رسولُ اللهِ صلى الله عليه وسلم: «تامَّة تامَّة تامَّة». </w:t>
      </w:r>
      <w:r>
        <w:rPr>
          <w:color w:val="000000"/>
          <w:rtl w:val="1"/>
        </w:rPr>
        <w:t xml:space="preserve">قال أبو عيسى: هذا حديثٌ حسنٌ غَريب. </w:t>
      </w:r>
      <w:r>
        <w:rPr>
          <w:color w:val="000000"/>
          <w:rtl w:val="1"/>
        </w:rPr>
        <w:t xml:space="preserve">وسألتُ محمّدَ بنَ إسماعيل عن أَبي ظِلالٍ؟ فقال: هو مُقارِبُ الحَديث. قالَ محمّد: واسمُهُ هِلال.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مقارب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الأذكار والدعاء بعد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