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ثمن الكلب-كتاب البيوع-صحيح البخاري — رقم الحديث: 2237 — الرقم الفرعي: 99 — الرقم الأصلي: 2237</w:t>
        <w:br/>
      </w:r>
      <w:r>
        <w:rPr>
          <w:rtl w:val="1"/>
        </w:rPr>
        <w:t xml:space="preserve"> حدثنا عبد الله بن يوسف أخبرنا مالك عن ابن شهاب عن أبي بكر بن عبد الرحمن عن أبي مسعود الأنصاريّ رضي الله عنه</w:t>
        <w:br/>
      </w:r>
      <w:r>
        <w:rPr>
          <w:color w:val="FF0000"/>
          <w:rtl w:val="1"/>
        </w:rPr>
        <w:t xml:space="preserve">أنَّ رسولَ الله ﷺ نَهَى عن  </w:t>
      </w:r>
      <w:r>
        <w:rPr>
          <w:color w:val="FF0000"/>
          <w:rtl w:val="1"/>
        </w:rPr>
        <w:t xml:space="preserve">ثَمَنِ الكلبِ،  </w:t>
      </w:r>
      <w:r>
        <w:rPr>
          <w:color w:val="FF0000"/>
          <w:rtl w:val="1"/>
        </w:rPr>
        <w:t xml:space="preserve">ومَهْرِ البَغِيِّ،  </w:t>
      </w:r>
      <w:r>
        <w:rPr>
          <w:color w:val="FF0000"/>
          <w:rtl w:val="1"/>
        </w:rPr>
        <w:t xml:space="preserve">وحُلْوانِ الكاهنِ. </w:t>
      </w:r>
    </w:p>
    <w:p>
      <w:pPr>
        <w:bidi w:val="1"/>
        <w:jc w:val="start"/>
      </w:pPr>
      <w:r>
        <w:rPr>
          <w:rtl w:val="1"/>
        </w:rPr>
        <w:t>الشرح: الدلالة: تحريم السحر والكهانة وحدهما - الحدود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بيع الكلب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كون المنفعة في عقد الإجارة مباحة الاستيفاء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