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1866 — الرقم الفرعي: 99 — الرقم الأصلي: 1308 — ج: 2 — ص: 641</w:t>
        <w:br/>
      </w:r>
      <w:r>
        <w:rPr>
          <w:rtl w:val="1"/>
        </w:rPr>
        <w:t xml:space="preserve"> وحدثني عن مالك عن نافع</w:t>
        <w:br/>
      </w:r>
      <w:r>
        <w:rPr>
          <w:color w:val="FF0000"/>
          <w:rtl w:val="1"/>
        </w:rPr>
        <w:t xml:space="preserve">أنَّ حَكيمَ بنَ حِزَامٍ ابتاعَ طعامًا، أَمرَ به عمرُ بنُ الخَطّابِ للنّاس،  </w:t>
      </w:r>
      <w:r>
        <w:rPr>
          <w:color w:val="FF0000"/>
          <w:rtl w:val="1"/>
        </w:rPr>
        <w:t xml:space="preserve">فباعَ حَكيمٌ الطَّعامَ قبلَ أن يَستوفِيَه،  </w:t>
      </w:r>
      <w:r>
        <w:rPr>
          <w:color w:val="FF0000"/>
          <w:rtl w:val="1"/>
        </w:rPr>
        <w:t xml:space="preserve">فبلَغَ ذلك عمرَ بنَ الخطّاب، فردَّه عليه، وقال: لا تَبِع طعامًا ابتَعْتَه حتى تَستوفِيَه.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موجودًا حال العقد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مملوكًا لمن يلي العقد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معلومًا لكل من العاقدين - المبيع</w:t>
      </w:r>
    </w:p>
    <w:p>
      <w:pPr>
        <w:bidi w:val="1"/>
        <w:jc w:val="start"/>
      </w:pPr>
      <w:r>
        <w:rPr>
          <w:rtl w:val="1"/>
        </w:rPr>
        <w:t>الشرح: الدلالة: النهي عن بيع ما ليس عند الإنسان وما لم يقبضه أو  ينقله من مكانه - أن لا يكون المبيع مملوكًا للبائع أو موكِّله أو مولِّيه</w:t>
      </w:r>
    </w:p>
    <w:p>
      <w:pPr>
        <w:bidi w:val="1"/>
        <w:jc w:val="start"/>
      </w:pPr>
      <w:r>
        <w:rPr>
          <w:rtl w:val="1"/>
        </w:rPr>
        <w:t>الشرح: الدلالة: بيع  المغانم ما لم تقسم وبيع الصدقات ما لم تقبض وبيع الهبة قبل قبضها - أن لا يكون المبيع مملوكًا للبائع أو موكِّله أو مولِّيه</w:t>
      </w:r>
    </w:p>
    <w:p>
      <w:pPr>
        <w:bidi w:val="1"/>
        <w:jc w:val="start"/>
      </w:pPr>
      <w:r>
        <w:rPr>
          <w:rtl w:val="1"/>
        </w:rPr>
        <w:t>الشرح: الدلالة: بيع الطعام حتى يجري فيه الصاعان (يدخل فيه القبض) - أسباب النهي المتعلقة بالربا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