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يقال رمضان أو شهر رمضان-كتاب الصوم-صحيح البخاري — رقم الحديث: 1900 — الرقم الفرعي: 99 — الرقم الأصلي: 1900</w:t>
        <w:br/>
      </w:r>
      <w:r>
        <w:rPr>
          <w:rtl w:val="1"/>
        </w:rPr>
        <w:t xml:space="preserve"> حدثنا يحيى بن بكير قال:حدثني الليث عن عقيل عن ابن شهاب قال:أخبرني سالم أنّ ابن عمر رضي الله عنهما قال:سمعت رسول الله صلى الله عليه وسلم</w:t>
        <w:br/>
      </w:r>
      <w:r>
        <w:rPr>
          <w:color w:val="FF0000"/>
          <w:rtl w:val="1"/>
        </w:rPr>
        <w:t xml:space="preserve">يقولُ: «إذا رأيتُمُوه فصُومُوا، وإذا رأيتُمُوه فأفطِرُوا، فإنْ غُمَّ عليكم فاقدُرُوا له».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