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383 — الرقم الفرعي: 99 — الرقم الأصلي: 383</w:t>
        <w:br/>
      </w:r>
      <w:r>
        <w:rPr>
          <w:rtl w:val="1"/>
        </w:rPr>
        <w:t xml:space="preserve"> حدثنا وكيع حدثنا هشام بن عروة عن أبيه عن عاصم بن عمر عن أبيه قال:قال رسول الله صلى الله عليه وسلم</w:t>
        <w:br/>
      </w:r>
      <w:r>
        <w:rPr>
          <w:color w:val="000000"/>
          <w:rtl w:val="1"/>
        </w:rPr>
        <w:t xml:space="preserve">«إِذَا جَاءَ اللَّيْلُ مِنْ هَاهُنَا، وَذَهَبَ النَّهَارُ مِنْ هَاهُنَا، فَقَدْ أَفْطَرَ الصَّائِمُ»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