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338 — الرقم الفرعي: 99 — الرقم الأصلي: 338</w:t>
        <w:br/>
      </w:r>
      <w:r>
        <w:rPr>
          <w:rtl w:val="1"/>
        </w:rPr>
        <w:t xml:space="preserve"> حدثنا سفيان عن هشام عن أبيه عن عاصم بن عمر عن أبيه أنّ النبيّ صلى الله عليه وسلم</w:t>
        <w:br/>
      </w:r>
      <w:r>
        <w:rPr>
          <w:color w:val="000000"/>
          <w:rtl w:val="1"/>
        </w:rPr>
        <w:t xml:space="preserve">قَالَ: «إِذَا أَقبَلَ اللَّيْلُ، وَأَدْبرَ النَّهَارُ، وَغَرَبَتِ الشَّمْسُ، فَقَدْ أَفطَرَ الصَّائِمُ»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