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231 — الرقم الفرعي: 99 — الرقم الأصلي: 231</w:t>
        <w:br/>
      </w:r>
      <w:r>
        <w:rPr>
          <w:rtl w:val="1"/>
        </w:rPr>
        <w:t xml:space="preserve"> حدثنا ابن نمير أخبرنا هشام عن أبيه عن عاصم عن عمر بن الخطاب قال:قال رسول الله صلى الله عليه وسلم</w:t>
        <w:br/>
      </w:r>
      <w:r>
        <w:rPr>
          <w:color w:val="000000"/>
          <w:rtl w:val="1"/>
        </w:rPr>
        <w:t xml:space="preserve">«إِذَا أَقْبَلَ اللَّيْلُ، وَأَدْبَرَ النَّهَارُ، وَغَابَتِ الشَّمْسُ فَقَدْ أَفْطَرْتَ»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