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مبايعة الإمام الجيش عند إرادة القتال،وبيان بيعة الرضوان تحت الشجرة-كتاب الإمارة-صحيح مسلم — رقم الحديث: 1856 — الرقم الفرعي: 1 — الرقم الأصلي: 1856</w:t>
        <w:br/>
      </w:r>
      <w:r>
        <w:rPr>
          <w:rtl w:val="1"/>
        </w:rPr>
        <w:t xml:space="preserve"> حدثنا قتيبة بن سعيد حدثنا ليث بن سعد ح وحدثنا محمد بن رمح أخبرنا الليث عن أبي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كنا يومَ الحُديبية ألفًا وأربع مئةٍ،  </w:t>
      </w:r>
      <w:r>
        <w:rPr>
          <w:color w:val="FF0000"/>
          <w:rtl w:val="1"/>
        </w:rPr>
        <w:t xml:space="preserve">فبايَعْناهُ، وعمرُ آخِذٌ بيَدِه تحت الشجَرة، وهي سَمُرةٌ،  </w:t>
      </w:r>
      <w:r>
        <w:rPr>
          <w:color w:val="FF0000"/>
          <w:rtl w:val="1"/>
        </w:rPr>
        <w:t xml:space="preserve">وقال: بايَعنَاهُ على أن لا نَفِرَّ،  </w:t>
      </w:r>
      <w:r>
        <w:rPr>
          <w:color w:val="000000"/>
          <w:rtl w:val="1"/>
        </w:rPr>
        <w:t xml:space="preserve">ولم نُبايِعْهُ على المَوت. 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بيعة الرضوان تحت الشجرة - غزوة الحديبية</w:t>
      </w:r>
    </w:p>
    <w:p>
      <w:pPr>
        <w:bidi w:val="1"/>
        <w:jc w:val="start"/>
      </w:pPr>
      <w:r>
        <w:rPr>
          <w:rtl w:val="1"/>
        </w:rPr>
        <w:t>الشرح: الدلالة: تحريم الفرار وعقوبته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