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علامة حلول المسخ والخسف-كتاب الفتن-سنن الترمذي — رقم الحديث: 2211 — الرقم الفرعي: 99 — الرقم الأصلي: 2212</w:t>
        <w:br/>
      </w:r>
      <w:r>
        <w:rPr>
          <w:rtl w:val="1"/>
        </w:rPr>
        <w:t xml:space="preserve"> حدثنا عليّ بن حُجر حدثنا محمد بن يزيد الواسطيّ عن المستلم بن سعيد عن رُمَيح الجُذاميّ عن أبي هريرة قال:قال رسول الله صلى الله عليه وسلم</w:t>
        <w:br/>
      </w:r>
      <w:r>
        <w:rPr>
          <w:color w:val="FF0000"/>
          <w:rtl w:val="1"/>
        </w:rPr>
        <w:t xml:space="preserve">«إذا اتُّخِذَ الفَيءُ دُولًا،  </w:t>
      </w:r>
      <w:r>
        <w:rPr>
          <w:color w:val="FF0000"/>
          <w:rtl w:val="1"/>
        </w:rPr>
        <w:t xml:space="preserve">والأَمانةُ مَغنمًا، والزَّكاةُ مَغرَمًا،  </w:t>
      </w:r>
      <w:r>
        <w:rPr>
          <w:color w:val="FF0000"/>
          <w:rtl w:val="1"/>
        </w:rPr>
        <w:t xml:space="preserve">وتُعلِّم لغير الدِّين،  </w:t>
      </w:r>
      <w:r>
        <w:rPr>
          <w:color w:val="FF0000"/>
          <w:rtl w:val="1"/>
        </w:rPr>
        <w:t xml:space="preserve">وأَطاعَ الرَّجلُ امرأتَه، وعقَّ أُمّه، وأَدنَى صَديقَه، وأَقصَى أَباه،  </w:t>
      </w:r>
      <w:r>
        <w:rPr>
          <w:color w:val="FF0000"/>
          <w:rtl w:val="1"/>
        </w:rPr>
        <w:t xml:space="preserve">وظَهرت الأَصواتُ في المساجد،  </w:t>
      </w:r>
      <w:r>
        <w:rPr>
          <w:color w:val="FF0000"/>
          <w:rtl w:val="1"/>
        </w:rPr>
        <w:t xml:space="preserve">وسادَ القَبيلةَ فاسِقُهم، وكان زعيمُ القوم أَرذَلَهم، وأُكرِمَ الرجلُ مخافةَ شَرِّه،  </w:t>
      </w:r>
      <w:r>
        <w:rPr>
          <w:color w:val="FF0000"/>
          <w:rtl w:val="1"/>
        </w:rPr>
        <w:t xml:space="preserve">وظَهرت القَيناتُ والمَعازف، وشُرِبت الخُمور،  </w:t>
      </w:r>
      <w:r>
        <w:rPr>
          <w:color w:val="FF0000"/>
          <w:rtl w:val="1"/>
        </w:rPr>
        <w:t xml:space="preserve">ولَعنَ آخرُ هذه الأُمة أوَّلَها،  </w:t>
      </w:r>
      <w:r>
        <w:rPr>
          <w:color w:val="FF0000"/>
          <w:rtl w:val="1"/>
        </w:rPr>
        <w:t xml:space="preserve">فليَرتَقِبوا عند ذلك رِيحًا حمراءَ، وزَلزلةً، وخَسفًا ومَسخًا، وقذفًا، وآياتٍ تتابعُ كنظامٍ بالٍ قُطعَ سِلكُه فتَتابَع». </w:t>
      </w:r>
      <w:r>
        <w:rPr>
          <w:color w:val="000000"/>
          <w:rtl w:val="1"/>
        </w:rPr>
        <w:t xml:space="preserve">وفي الباب عن عليٍّ.  </w:t>
      </w:r>
      <w:r>
        <w:rPr>
          <w:color w:val="000000"/>
          <w:rtl w:val="1"/>
        </w:rPr>
        <w:t xml:space="preserve">هذا حديثٌ غريبٌ، لا نعرفُه إلّا من هذا الوَجه.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الثاني: ما يصيب العلاقات الاجتماعية من تباغض وعقوق وقطع الأرحام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الثاني: أكل المال الحرام وأكل الربا والتحايل في البيوع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