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علامة حلول المسخ والخسف-كتاب الفتن-سنن الترمذي — رقم الحديث: 2210 — الرقم الفرعي: 99 — الرقم الأصلي: 2211</w:t>
        <w:br/>
      </w:r>
      <w:r>
        <w:rPr>
          <w:rtl w:val="1"/>
        </w:rPr>
        <w:t xml:space="preserve"> حدثنا صالح بن عبد الله الترمذيّ حدثنا الفرج بن فَضالة الشاميّ عن يحيى بن سعيد عن محمد بن عمرو بن عليّ عن عليّ بن أبي طالب قال:قال رسول الله صلى الله عليه وسلم</w:t>
        <w:br/>
      </w:r>
      <w:r>
        <w:rPr>
          <w:color w:val="FF0000"/>
          <w:rtl w:val="1"/>
        </w:rPr>
        <w:t xml:space="preserve">«إذا فَعلَتْ أُمَّتي خَمسَ عشْرةَ خَصْلةً حلَّ بها البَلاء»  </w:t>
      </w:r>
      <w:r>
        <w:rPr>
          <w:color w:val="FF0000"/>
          <w:rtl w:val="1"/>
        </w:rPr>
        <w:t xml:space="preserve">قيل: وما هي يا رسولَ الله،  </w:t>
      </w:r>
      <w:r>
        <w:rPr>
          <w:color w:val="FF0000"/>
          <w:rtl w:val="1"/>
        </w:rPr>
        <w:t xml:space="preserve">قال: «إذا كان المَغنَمُ دُولًا، والأَمانةُ مغنمًا، والزكاةُ مَغرَمًا،  </w:t>
      </w:r>
      <w:r>
        <w:rPr>
          <w:color w:val="FF0000"/>
          <w:rtl w:val="1"/>
        </w:rPr>
        <w:t xml:space="preserve">وأَطاعَ الرّجلُ زَوجتَه، وعقَّ أُمَّه، وبَرَّ صَديقَه، وجَفا أَباه،  </w:t>
      </w:r>
      <w:r>
        <w:rPr>
          <w:color w:val="FF0000"/>
          <w:rtl w:val="1"/>
        </w:rPr>
        <w:t xml:space="preserve">وارتَفعَت الأَصواتُ في المساجد،  </w:t>
      </w:r>
      <w:r>
        <w:rPr>
          <w:color w:val="FF0000"/>
          <w:rtl w:val="1"/>
        </w:rPr>
        <w:t xml:space="preserve">وكان زَعيمُ القومِ أَرذَلَهم، وأُكرِمَ الرجلُ مَخافةَ شَرِّه،  </w:t>
      </w:r>
      <w:r>
        <w:rPr>
          <w:color w:val="FF0000"/>
          <w:rtl w:val="1"/>
        </w:rPr>
        <w:t xml:space="preserve">وشُرِبَت الخَمر، ولُبِس الحَرير، واتُّخِذت القِيانُ والمَعازِف، ولَعَنَ آخرُ هذه الأُمّة أوَّلَها،  </w:t>
      </w:r>
      <w:r>
        <w:rPr>
          <w:color w:val="FF0000"/>
          <w:rtl w:val="1"/>
        </w:rPr>
        <w:t xml:space="preserve">فلْيرتَقِبوا عند ذلك رِيحًا حمراءَ، أو خَسفًا ومَسخًا». </w:t>
      </w:r>
      <w:r>
        <w:rPr>
          <w:color w:val="000000"/>
          <w:rtl w:val="1"/>
        </w:rPr>
        <w:t xml:space="preserve">هذا حديثٌ غريبٌ،  </w:t>
      </w:r>
      <w:r>
        <w:rPr>
          <w:color w:val="000000"/>
          <w:rtl w:val="1"/>
        </w:rPr>
        <w:t xml:space="preserve">لا نعرفُه من حديث عليٍّ إلّا من هذا الوجه، ولا نَعلمُ أَحدًا رواه عن يحيى بن سعيدٍ الأَنصاريِّ غيرَ الفَرَج بن فَضَالة، وقد تَكلَّم فيه بعضُ أَهل الحديث، وضعَّفه من قِبَل حِفظِه، وقد رَوى عنه وكيعٌ وغيرُ واحدٍ من الأئمة. </w:t>
      </w:r>
    </w:p>
    <w:p>
      <w:pPr>
        <w:bidi w:val="1"/>
        <w:jc w:val="start"/>
      </w:pPr>
      <w:r>
        <w:rPr>
          <w:rtl w:val="1"/>
        </w:rPr>
        <w:t xml:space="preserve">درجة الحديث: إسناده ضعيف </w:t>
      </w:r>
    </w:p>
    <w:p>
      <w:pPr>
        <w:bidi w:val="1"/>
        <w:jc w:val="start"/>
      </w:pPr>
      <w:r>
        <w:rPr>
          <w:rtl w:val="1"/>
        </w:rPr>
        <w:t>الشرح: الدلالة: التصور الإسلامي للكون - التصور الإسلامي</w:t>
      </w:r>
    </w:p>
    <w:p>
      <w:pPr>
        <w:bidi w:val="1"/>
        <w:jc w:val="start"/>
      </w:pPr>
      <w:r>
        <w:rPr>
          <w:rtl w:val="1"/>
        </w:rPr>
        <w:t>الشرح: الدلالة: المسجد - مؤسسات التربية والتعليم</w:t>
      </w:r>
    </w:p>
    <w:p>
      <w:pPr>
        <w:bidi w:val="1"/>
        <w:jc w:val="start"/>
      </w:pPr>
      <w:r>
        <w:rPr>
          <w:rtl w:val="1"/>
        </w:rPr>
        <w:t>الشرح: الدلالة: التغير الاجتماعي - الأساس الاجتماعي للمنهاج</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الفصل الثاني: التحذير من الفتن - التحذير من الفتن والحض على تعلم أَحاديثها</w:t>
      </w:r>
    </w:p>
    <w:p>
      <w:pPr>
        <w:bidi w:val="1"/>
        <w:jc w:val="start"/>
      </w:pPr>
      <w:r>
        <w:rPr>
          <w:rtl w:val="1"/>
        </w:rPr>
        <w:t>الشرح: الدلالة: تمهيد: أحاديث جامعة في أشراط الساعة الصغرى - الفتن وأشراط الساعة الصغرى</w:t>
      </w:r>
    </w:p>
    <w:p>
      <w:pPr>
        <w:bidi w:val="1"/>
        <w:jc w:val="start"/>
      </w:pPr>
      <w:r>
        <w:rPr>
          <w:rtl w:val="1"/>
        </w:rPr>
        <w:t>الشرح: الدلالة: المبحث الرابع: الفتن المتعلقة بالمساجد واختلاف أحوال أهلها - الفتن المتعلقة بالعقائد والعبادات</w:t>
      </w:r>
    </w:p>
    <w:p>
      <w:pPr>
        <w:bidi w:val="1"/>
        <w:jc w:val="start"/>
      </w:pPr>
      <w:r>
        <w:rPr>
          <w:rtl w:val="1"/>
        </w:rPr>
        <w:t>الشرح: الدلالة: المبحث الأول: ظهور الخيانة والكذب والنفاق والشح - الفتن المتعلقة بالأخلاق والسلوك</w:t>
      </w:r>
    </w:p>
    <w:p>
      <w:pPr>
        <w:bidi w:val="1"/>
        <w:jc w:val="start"/>
      </w:pPr>
      <w:r>
        <w:rPr>
          <w:rtl w:val="1"/>
        </w:rPr>
        <w:t>الشرح: الدلالة: المبحث الأول: بسط الدنيا والتنافس فيها والحرص عليها - الفتن المتعلقة بالمعاملات</w:t>
      </w:r>
    </w:p>
    <w:p>
      <w:pPr>
        <w:bidi w:val="1"/>
        <w:jc w:val="start"/>
      </w:pPr>
      <w:r>
        <w:rPr>
          <w:rtl w:val="1"/>
        </w:rPr>
        <w:t>الشرح: الدلالة: المطلب الأول: فساد الحكام - الفتن المتعلقة بالحكم</w:t>
      </w:r>
    </w:p>
    <w:p>
      <w:pPr>
        <w:bidi w:val="1"/>
        <w:jc w:val="start"/>
      </w:pPr>
      <w:r>
        <w:rPr>
          <w:rtl w:val="1"/>
        </w:rPr>
        <w:t>الشرح: الدلالة: المطلب الثالث: عدم وجود الإمام، وعدم تطبيق الشرع - الفتن المتعلقة بالحكم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