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5113 — الرقم الفرعي: 99 — الرقم الأصلي: 5113 — ج: 2 — ص: 50</w:t>
        <w:br/>
      </w:r>
      <w:r>
        <w:rPr>
          <w:rtl w:val="1"/>
        </w:rPr>
        <w:t xml:space="preserve"> حدثنا خلف بن الوليد حدثنا أبو معشر عن نافع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مَرَّ رسولُ الله ﷺ بطَعامٍ وقد حسَّنَه صاحِبُه، فأَدخَلَ يدَه فيه، فإذا طعامٌ رَديء، فقال: «بع هذا على حِدَة، وهذا على حِدَة،  </w:t>
      </w:r>
      <w:r>
        <w:rPr>
          <w:color w:val="FF0000"/>
          <w:rtl w:val="1"/>
        </w:rPr>
        <w:t xml:space="preserve">فمَن غشَّنا فليسَ مِنَّا».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الغش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