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غسل الثوب وفي الخُلقان-كتاب اللباس-سنن أبي داود — رقم الحديث: 4062 — الرقم الفرعي: 99 — الرقم الأصلي: 4062</w:t>
        <w:br/>
      </w:r>
      <w:r>
        <w:rPr>
          <w:rtl w:val="1"/>
        </w:rPr>
        <w:t xml:space="preserve"> حدثنا النُّفَيْليّ ثنا مسكين عن الأوزاعيّ ح وثنا عثمان بن أبي شيبة عن وكيع عن الأوزاعيّ ملاحظة نحوه عن حسان بن عطية عن محمد بن المنكدر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أتانا رسولُ الله ﷺ فرأى رجُلًا شعِثًا قد تفرَّقَ شَعرُهُ، فقال: «أما كان هذا يَجدُ ما يُسَكِّنُ به شَعْرَه؟»  </w:t>
      </w:r>
      <w:r>
        <w:rPr>
          <w:color w:val="FF0000"/>
          <w:rtl w:val="1"/>
        </w:rPr>
        <w:t xml:space="preserve">ورأى رجُلًا آخرَ عليه ثيابٌ وسِخَة فقال: «أَما كان هذا يجدُ ما يَغسِلُ به ثوبَهُ؟».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النظافة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نظافة الثياب - نظافة البيئة</w:t>
      </w:r>
    </w:p>
    <w:p>
      <w:pPr>
        <w:bidi w:val="1"/>
        <w:jc w:val="start"/>
      </w:pPr>
      <w:r>
        <w:rPr>
          <w:rtl w:val="1"/>
        </w:rPr>
        <w:t>الشرح: الدلالة: قيمة نظافة الملابس - قيم النظافة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نظافة اللباس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قيمة جمال الإنسان وحُسْن هَيئتِه - قيم تذوق الجمال</w:t>
      </w:r>
    </w:p>
    <w:p>
      <w:pPr>
        <w:bidi w:val="1"/>
        <w:jc w:val="start"/>
      </w:pPr>
      <w:r>
        <w:rPr>
          <w:rtl w:val="1"/>
        </w:rPr>
        <w:t>الشرح: الدلالة: الحث على التزين للرجال والنساء - مشروعية الزينة والاعتدال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