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الذكر المستحب عقب الوضوء-كتاب الطهارة-صحيح مسلم — رقم الحديث: 234 — الرقم الفرعي: 1 — الرقم الأصلي: 234</w:t>
        <w:br/>
      </w:r>
      <w:r>
        <w:rPr>
          <w:rtl w:val="1"/>
        </w:rPr>
        <w:t xml:space="preserve"> حدثني محمد بن حاتم بن ميمون حدثنا عبد الرحمن بن مهدي حدثنا معاوية بن صالح عن ربيعة ملاحظة يعني ابن يزيد عن أبي إدريس الخَولانيّ عن عقبة بن عامر ح وحدثني أبو عثمان عن جُبير بن نُفير عن عقبة بن عامر</w:t>
        <w:br/>
      </w:r>
      <w:r>
        <w:rPr>
          <w:color w:val="000000"/>
          <w:rtl w:val="1"/>
        </w:rPr>
        <w:t xml:space="preserve">قال: كانت علينا رِعايةُ الإبِل، فجاءتْ نَوبَتي، فروّحْتُها بعَشِيٍّ،  </w:t>
      </w:r>
      <w:r>
        <w:rPr>
          <w:color w:val="000000"/>
          <w:rtl w:val="1"/>
        </w:rPr>
        <w:t xml:space="preserve">فأدركتُ رسولَ الله ﷺ قائمًا يُحدِّثُ النّاس، فأدركتُ مِن قولِه:  </w:t>
      </w:r>
      <w:r>
        <w:rPr>
          <w:color w:val="FF0000"/>
          <w:rtl w:val="1"/>
        </w:rPr>
        <w:t xml:space="preserve">«ما مِن مُسلمٍ يَتوضّأُ فيُحسِنُ وُضوءَه، ثمَّ يقومُ فيُصلِّي رَكعتَين، مُقبلٌ عليهما بقَلبِه ووَجهِه، إلّا وَجَبتْ له الجنّةُ»،  </w:t>
      </w:r>
      <w:r>
        <w:rPr>
          <w:color w:val="FF0000"/>
          <w:rtl w:val="1"/>
        </w:rPr>
        <w:t xml:space="preserve">قال: فقلتُ: ما أَجوَدَ هذه، فإذا قائلٌ بينَ يَدَيَّ يقول: التي قَبلَها أَجودُ، فنظرتُ فإذا عُمرُ، قال: إنِّي قد رأيتُكَ جئتَ آنفًا،  </w:t>
      </w:r>
      <w:r>
        <w:rPr>
          <w:color w:val="FF0000"/>
          <w:rtl w:val="1"/>
        </w:rPr>
        <w:t xml:space="preserve">قال: «ما مِنكُم مِن أَحدٍ يَتوضّأُ فيُبْلِغُ - أو فيُسْبِغُ الوُضُوءَ -، ثم يقول: أشهدُ أنْ لا إلهَ إلّا اللهُ وأنَّ محمّدًا عبدُ الله ورَسولُه، إلّا فُتِحَت له أبوابُ الجَنَّة الثّمانيةُ، يَدخُلُ مِن أَيِّها شاء».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صلاة سنة الوضوء - النوافل بسبب </w:t>
      </w:r>
    </w:p>
    <w:p>
      <w:pPr>
        <w:bidi w:val="1"/>
        <w:jc w:val="start"/>
      </w:pPr>
      <w:r>
        <w:rPr>
          <w:rtl w:val="1"/>
        </w:rPr>
        <w:t>الشرح: الدلالة: فضل الوضوء - مشروعية الوضوء وفضله</w:t>
      </w:r>
    </w:p>
    <w:p>
      <w:pPr>
        <w:bidi w:val="1"/>
        <w:jc w:val="start"/>
      </w:pPr>
      <w:r>
        <w:rPr>
          <w:rtl w:val="1"/>
        </w:rPr>
        <w:t>الشرح: الدلالة: أبواب الجنة (أسماؤها، عددها، سعتها، فتحها) - خامسًا: نعيم الجنة</w:t>
      </w:r>
    </w:p>
    <w:p>
      <w:pPr>
        <w:bidi w:val="1"/>
        <w:jc w:val="start"/>
      </w:pPr>
      <w:r>
        <w:rPr>
          <w:rtl w:val="1"/>
        </w:rPr>
        <w:t>الشرح: الدلالة: * العبادات (الصلاة والصوم والزكاة والصدقة والحج) - الاعتقادات والعبادات والأعمال الموجبة لدخول الجنة</w:t>
      </w:r>
    </w:p>
    <w:p>
      <w:pPr>
        <w:bidi w:val="1"/>
        <w:jc w:val="start"/>
      </w:pPr>
      <w:r>
        <w:rPr>
          <w:rtl w:val="1"/>
        </w:rPr>
        <w:t>الشرح: الدلالة: * الأذكار - الاعتقادات والعبادات والأعمال الموجبة لدخول الجنة</w:t>
      </w:r>
    </w:p>
    <w:p>
      <w:pPr>
        <w:bidi w:val="1"/>
        <w:jc w:val="start"/>
      </w:pPr>
      <w:r>
        <w:rPr>
          <w:rtl w:val="1"/>
        </w:rPr>
        <w:t>الشرح: الدلالة: أذكار الطهارة و أدعيتها - الذكر والدعاء في 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