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لم يرَ الوضوء إلاّ من المخرجين من القُبُل والدبر-كتاب الوضوء-صحيح البخاري — رقم الحديث: 179 — الرقم الفرعي: 99 — الرقم الأصلي: 179</w:t>
        <w:br/>
      </w:r>
      <w:r>
        <w:rPr>
          <w:rtl w:val="1"/>
        </w:rPr>
        <w:t xml:space="preserve"> حدثنا سعد بن حفص حدثنا شيبان عن يحيى عن أبي سلمة أنّ عطاء بن يسار أخبره أن زيد بن خالد أخبره أنه سأل عثمان بن عفان رضي الله عنه</w:t>
        <w:br/>
      </w:r>
      <w:r>
        <w:rPr>
          <w:color w:val="FF0000"/>
          <w:rtl w:val="1"/>
        </w:rPr>
        <w:t xml:space="preserve">قلتُ: أرأيتَ إذا جامَعَ فلم يُمْنِ؟  </w:t>
      </w:r>
      <w:r>
        <w:rPr>
          <w:color w:val="FF0000"/>
          <w:rtl w:val="1"/>
        </w:rPr>
        <w:t xml:space="preserve">قال عُثمانُ: يَتَوضَّأُ كما يَتَوضَّأُ للصلاةِ ويَغسِلُ ذَكَرَه.  </w:t>
      </w:r>
      <w:r>
        <w:rPr>
          <w:color w:val="FF0000"/>
          <w:rtl w:val="1"/>
        </w:rPr>
        <w:t xml:space="preserve">قال عُثمانُ: سمعتُه مِن رسولِ الله ﷺ.  </w:t>
      </w:r>
      <w:r>
        <w:rPr>
          <w:color w:val="000000"/>
          <w:rtl w:val="1"/>
        </w:rPr>
        <w:t xml:space="preserve">فسألتُ عن ذلكَ عليّاً والزُّبَيرَ وطَلْحةَ وأُبيَّ بنَ كَعْبٍ، رضي الله عنهم، فأمَرُوه بذلكَ. </w:t>
      </w:r>
    </w:p>
    <w:p>
      <w:pPr>
        <w:bidi w:val="1"/>
        <w:jc w:val="start"/>
      </w:pPr>
      <w:r>
        <w:rPr>
          <w:rtl w:val="1"/>
        </w:rPr>
        <w:t>الشرح: الدلالة: ناسخ الحديث ومنسوخه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أسباب الجنابة (الجماع أو خروج المني) - الجنابة</w:t>
      </w:r>
    </w:p>
    <w:p>
      <w:pPr>
        <w:bidi w:val="1"/>
        <w:jc w:val="start"/>
      </w:pPr>
      <w:r>
        <w:rPr>
          <w:rtl w:val="1"/>
        </w:rPr>
        <w:t>الشرح: الدلالة: الوضوء - ما يستحب للجنب</w:t>
      </w:r>
    </w:p>
    <w:p>
      <w:pPr>
        <w:bidi w:val="1"/>
        <w:jc w:val="start"/>
      </w:pPr>
      <w:r>
        <w:rPr>
          <w:rtl w:val="1"/>
        </w:rPr>
        <w:t>الشرح: الدلالة: الوضوء للجنب وقبل الاغتسال - ما يشرع له الوضوء</w:t>
      </w:r>
    </w:p>
    <w:p>
      <w:pPr>
        <w:bidi w:val="1"/>
        <w:jc w:val="start"/>
      </w:pPr>
      <w:r>
        <w:rPr>
          <w:rtl w:val="1"/>
        </w:rPr>
        <w:t>الشرح: الدلالة: ما يخرج من أحد السبيلين(البول والغائط والريح والمني والمذي) - ما جاء في نقض الوضوء</w:t>
      </w:r>
    </w:p>
    <w:p>
      <w:pPr>
        <w:bidi w:val="1"/>
        <w:jc w:val="start"/>
      </w:pPr>
      <w:r>
        <w:rPr>
          <w:rtl w:val="1"/>
        </w:rPr>
        <w:t>الشرح: الدلالة: نظافة السبيلين والتنزه من النجاسات - الطهارة والنظافة البدنية وسنن الفطرة</w:t>
      </w:r>
    </w:p>
    <w:p>
      <w:pPr>
        <w:bidi w:val="1"/>
        <w:jc w:val="start"/>
      </w:pPr>
      <w:r>
        <w:rPr>
          <w:rtl w:val="1"/>
        </w:rPr>
        <w:t>الشرح: الدلالة: غسل الفرج - ما يستحب للجنب</w:t>
      </w:r>
    </w:p>
    <w:p>
      <w:pPr>
        <w:bidi w:val="1"/>
        <w:jc w:val="start"/>
      </w:pPr>
      <w:r>
        <w:rPr>
          <w:rtl w:val="1"/>
        </w:rPr>
        <w:t>الشرح: الدلالة: إزالة الحدث (بالغسل أو الوضوء أو التيمم) - الطهارة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