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مهور النساء-كتاب النكاح-سنن الترمذي — رقم الحديث: 1113 — الرقم الفرعي: 99 — الرقم الأصلي: 1113</w:t>
        <w:br/>
      </w:r>
      <w:r>
        <w:rPr>
          <w:rtl w:val="1"/>
        </w:rPr>
        <w:t xml:space="preserve"> حدثنا محمد بن بشار حدثنا يحيى بن سعيد و عبد الرحمن بن مهديّ و محمد بن جعفر قالوا:حدثنا شعبة عن عاصم بن عبيدالله قال:سمعت عبد الله بن عامر بن ربيعة عن أبيه</w:t>
        <w:br/>
      </w:r>
      <w:r>
        <w:rPr>
          <w:color w:val="FF0000"/>
          <w:rtl w:val="1"/>
        </w:rPr>
        <w:t xml:space="preserve">أنَّ امرأةً مِن بَنِي فَزَارَة تَزوَّجَت على نَعلَين،  </w:t>
      </w:r>
      <w:r>
        <w:rPr>
          <w:color w:val="FF0000"/>
          <w:rtl w:val="1"/>
        </w:rPr>
        <w:t xml:space="preserve">فقال رسولُ اللهِ ﷺ: «أرضيتِ مِن نَفسِك ومالِك بنَعلَين؟» قالت: نَعَم، قال: فأجازَه. </w:t>
      </w:r>
      <w:r>
        <w:rPr>
          <w:color w:val="000000"/>
          <w:rtl w:val="1"/>
        </w:rPr>
        <w:t xml:space="preserve">وفي البابِ عن عمرَ، وأَبي هُريرةَ، وسَهل بنِ سعدٍ، وأَبي سَعيدٍ، وأَنسٍ، وعائشةَ، وجابرٍ، وأَبي حَدْرَدٍ الأَسْلَميّ. </w:t>
      </w:r>
      <w:r>
        <w:rPr>
          <w:color w:val="000000"/>
          <w:rtl w:val="1"/>
        </w:rPr>
        <w:t xml:space="preserve">حديثُ عامرِ بن رَبيعةَ حديثٌ حسنٌ صحيح. </w:t>
      </w:r>
      <w:r>
        <w:rPr>
          <w:color w:val="000000"/>
          <w:rtl w:val="1"/>
        </w:rPr>
        <w:t xml:space="preserve">واختَلفَ أَهلُ العِلمِ في المَهر؛  </w:t>
      </w:r>
      <w:r>
        <w:rPr>
          <w:color w:val="000000"/>
          <w:rtl w:val="1"/>
        </w:rPr>
        <w:t xml:space="preserve">فقال بعضُ أَهلِ العِلم: المَهرُ على ما تَراضَوا عليه، وهو قولُ سُفيانَ الثّوريِّ، والشّافعيِّ، وأَحمدَ، وإسحاق. </w:t>
      </w:r>
      <w:r>
        <w:rPr>
          <w:color w:val="000000"/>
          <w:rtl w:val="1"/>
        </w:rPr>
        <w:t xml:space="preserve">وقال مالك بنُ أَنس: لا يكونُ المَهرُ أَقلَّ مِن رُبعِ دِينار.  </w:t>
      </w:r>
      <w:r>
        <w:rPr>
          <w:color w:val="000000"/>
          <w:rtl w:val="1"/>
        </w:rPr>
        <w:t xml:space="preserve">وقال بعضُ أَهلِ الكُوفة: لا يكونُ المَهرُ أَقلَّ مِن عشَرةِ دراهم.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الولي يستأذن البكر والثيب - الولي</w:t>
      </w:r>
    </w:p>
    <w:p>
      <w:pPr>
        <w:bidi w:val="1"/>
        <w:jc w:val="start"/>
      </w:pPr>
      <w:r>
        <w:rPr>
          <w:rtl w:val="1"/>
        </w:rPr>
        <w:t>الشرح: الدلالة: مشروعية المهر - المهر</w:t>
      </w:r>
    </w:p>
    <w:p>
      <w:pPr>
        <w:bidi w:val="1"/>
        <w:jc w:val="start"/>
      </w:pPr>
      <w:r>
        <w:rPr>
          <w:rtl w:val="1"/>
        </w:rPr>
        <w:t>الشرح: الدلالة: الترغيب في تقليل المهر - المهر</w:t>
      </w:r>
    </w:p>
    <w:p>
      <w:pPr>
        <w:bidi w:val="1"/>
        <w:jc w:val="start"/>
      </w:pPr>
      <w:r>
        <w:rPr>
          <w:rtl w:val="1"/>
        </w:rPr>
        <w:t>الشرح: الدلالة: ما يجوز أن يكون مهراً - المهر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