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خلق آدم صلوات الله عليه وذرّيّته صلصالٌ طينٌ-كتاب الأنبياء-صحيح البخاري — رقم الحديث: 3335 — الرقم الفرعي: 99 — الرقم الأصلي: 3335</w:t>
        <w:br/>
      </w:r>
      <w:r>
        <w:rPr>
          <w:rtl w:val="1"/>
        </w:rPr>
        <w:t xml:space="preserve"> حدثنا عمر بن حفص بن غيّاث حدثنا أبي حدثنا الأعمش قال:حدثني عبد الله بن مُرّة عن مسروق عن عبد الله رضي الله عنه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«لا تُقتَلُ نَفْسٌ ظُلمًا، إلَّا كانَ على ابنِ آدمَ الأوَّلِ كِفْلٌ من دمِها،  </w:t>
      </w:r>
      <w:r>
        <w:rPr>
          <w:color w:val="FF0000"/>
          <w:rtl w:val="1"/>
        </w:rPr>
        <w:t xml:space="preserve">لأنَّه أوَّلُ مَن سَنَّ القتلَ». 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السنة السيئة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السنة السيئة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قيمة الحياة - القيم الصحية والبيئية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