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دخول مكة-أول كتاب المناسك-سنن أبي داود — رقم الحديث: 2030 — الرقم الفرعي: 99 — الرقم الأصلي: 2030</w:t>
        <w:br/>
      </w:r>
      <w:r>
        <w:rPr>
          <w:rtl w:val="1"/>
        </w:rPr>
        <w:t xml:space="preserve"> حدثنا ابن السّرح و سعيد بن منصور و مُسدد قالوا:ثنا سفيان عن منصور الحَجَبيّ حدثني خالي عن أُمّي صفية بنت شيبة قالت :سمعت الأسلمية</w:t>
        <w:br/>
      </w:r>
      <w:r>
        <w:rPr>
          <w:color w:val="000000"/>
          <w:rtl w:val="1"/>
        </w:rPr>
        <w:t xml:space="preserve">تقولُ: قلتُ لعثمانَ: ما قال لك رسولُ الله ﷺ حين دَعَاكَ؟  </w:t>
      </w:r>
      <w:r>
        <w:rPr>
          <w:color w:val="FF0000"/>
          <w:rtl w:val="1"/>
        </w:rPr>
        <w:t xml:space="preserve">قال: قال: «إنِّي نَسيتُ أن آمُرَكَ أن تُخمِّر القَرنَينِ؛  </w:t>
      </w:r>
      <w:r>
        <w:rPr>
          <w:color w:val="FF0000"/>
          <w:rtl w:val="1"/>
        </w:rPr>
        <w:t xml:space="preserve">فإنّه ليسَ يَنبغِي أن يكونَ في البَيتِ شَيءٌ يَشغَلُ المُصلِّي». </w:t>
      </w:r>
      <w:r>
        <w:rPr>
          <w:color w:val="000000"/>
          <w:rtl w:val="1"/>
        </w:rPr>
        <w:t xml:space="preserve">قال ابنُ السَّرْح: خالي مُسافع بنُ شَيبة.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الصلاة داخل الكعبة أو في حجر إسماعيل - الأماكن المباحة للصلاة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عدم الالتفات أو الانشغال بالملابس المزخرفة أو النظر إلى أثاث المنزل أثناء الصلاة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