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رجم اليهوديّين-كتاب الحدود-سنن أبي داود — رقم الحديث: 4450 — الرقم الفرعي: 99 — الرقم الأصلي: 4450</w:t>
        <w:br/>
      </w:r>
      <w:r>
        <w:rPr>
          <w:rtl w:val="1"/>
        </w:rPr>
        <w:t xml:space="preserve"> حدثنا محمد بن يحيى ثنا عبد الرزاق أخبرنا مَعمر عن الزهريّ ثنا رجل مِن مزينة ح وثنا أحمد بن صالح ثنا عنبسة ثنا يونس قال:قال محمد بن مسلم سمعت رجُلاً مِن مزينة ملاحظة مِمّن يتبع العِلم ويعيه،ثم اتفقا:ونحن عند سعيد بن المسيّب فحدثنا عن أبي هريرة وهذا حديث مَعمر ملاحظة وهو أتم</w:t>
        <w:br/>
      </w:r>
      <w:r>
        <w:rPr>
          <w:color w:val="000000"/>
          <w:rtl w:val="1"/>
        </w:rPr>
        <w:t xml:space="preserve">قال: زنى رجُلٌ من اليهود وامرأة،  </w:t>
      </w:r>
      <w:r>
        <w:rPr>
          <w:color w:val="000000"/>
          <w:rtl w:val="1"/>
        </w:rPr>
        <w:t xml:space="preserve">فقال بعضهم لبعض: اذهبوا بنا إلى هذا النبيِّ، فإنه نبيٌّ </w:t>
      </w:r>
      <w:r>
        <w:rPr>
          <w:color w:val="000000"/>
          <w:rtl w:val="1"/>
        </w:rPr>
        <w:t xml:space="preserve">بُعِثَ بالتخفيف،  </w:t>
      </w:r>
      <w:r>
        <w:rPr>
          <w:color w:val="000000"/>
          <w:rtl w:val="1"/>
        </w:rPr>
        <w:t xml:space="preserve">فإن أفتانا بِفُتيا دُونَ الرجمِ قبلناها واحتججنا بها عندَ الله، قلنا: فُتيا نبيٍّ مِن أنبيائِك،  </w:t>
      </w:r>
      <w:r>
        <w:rPr>
          <w:color w:val="000000"/>
          <w:rtl w:val="1"/>
        </w:rPr>
        <w:t xml:space="preserve">قال: فأتوا النبيَّ ﷺ وهو جالسٌ في المسجد في أصحابه،  </w:t>
      </w:r>
      <w:r>
        <w:rPr>
          <w:color w:val="000000"/>
          <w:rtl w:val="1"/>
        </w:rPr>
        <w:t xml:space="preserve">فقالوا: يا أبا القاسم، ما ترى في رجلٍ وامرأةٍ منهم زنيا؟ فلم يُكلِّمهم كلمةً حتى أتى بيت مِدْرَاسِهم،  </w:t>
      </w:r>
      <w:r>
        <w:rPr>
          <w:color w:val="FF0000"/>
          <w:rtl w:val="1"/>
        </w:rPr>
        <w:t xml:space="preserve">فقام على البابِ، فقال: «أنْشُدُكم باللهِ الذي أنْزَلَ التوراةَ على موسى ما تجدونَ في التوراةِ على من زنَى إذا أحصن؟» </w:t>
      </w:r>
      <w:r>
        <w:rPr>
          <w:color w:val="FF0000"/>
          <w:rtl w:val="1"/>
        </w:rPr>
        <w:t xml:space="preserve">قالوا: يُحمَّمُ ويُجبَّهُ ويُجلَدُ، والتجبيهُ: أن يُحملَ الزانيانِ على حِمارٍ، وتُقابلَ أقفيتُهما، ويُطاف بهما،  </w:t>
      </w:r>
      <w:r>
        <w:rPr>
          <w:color w:val="FF0000"/>
          <w:rtl w:val="1"/>
        </w:rPr>
        <w:t xml:space="preserve">قال: وسكَتَ شابٌّ منهم، فلما رآه النبيَّ ﷺ سكت ألظَّ به النِّشدَة،  </w:t>
      </w:r>
      <w:r>
        <w:rPr>
          <w:color w:val="FF0000"/>
          <w:rtl w:val="1"/>
        </w:rPr>
        <w:t xml:space="preserve">فقال: اللهم إذ نشدْتَنَا فإنا نجِدُ في التَّوراةِ الرجمَ، </w:t>
      </w:r>
      <w:r>
        <w:rPr>
          <w:color w:val="FF0000"/>
          <w:rtl w:val="1"/>
        </w:rPr>
        <w:t xml:space="preserve"> فقال النبيُّ ﷺ: «فما أوَّلُ ما ارتخصتم أمرَ الله؟»  </w:t>
      </w:r>
      <w:r>
        <w:rPr>
          <w:color w:val="FF0000"/>
          <w:rtl w:val="1"/>
        </w:rPr>
        <w:t xml:space="preserve">قال: زَنَى ذو قرابةٍ من ملك مِن مُلوكنا، فأُخِّر عنه الرجمُ،  </w:t>
      </w:r>
      <w:r>
        <w:rPr>
          <w:color w:val="FF0000"/>
          <w:rtl w:val="1"/>
        </w:rPr>
        <w:t xml:space="preserve">ثم زَنَى رجلٌ في أسرةٍ مِن النَّاسِ، فأراد رجمه، فحالَ قومُه دونه، وقالوا: لا يُرجَمُ صاحبُنا حتى تجيءَ بصاحبِك فترجمَه،  </w:t>
      </w:r>
      <w:r>
        <w:rPr>
          <w:color w:val="FF0000"/>
          <w:rtl w:val="1"/>
        </w:rPr>
        <w:t xml:space="preserve">فاصطلحوا على هذه العقوبةِ بينَهم، فقال النبيُّ ﷺ: «فإني أحكُمُ بما في التوراة» فأمَرَ بهما فَرُجِما. </w:t>
      </w:r>
      <w:r>
        <w:rPr>
          <w:color w:val="000000"/>
          <w:rtl w:val="1"/>
        </w:rPr>
        <w:t xml:space="preserve"> </w:t>
      </w:r>
    </w:p>
    <w:p>
      <w:pPr>
        <w:bidi w:val="1"/>
        <w:jc w:val="start"/>
      </w:pPr>
      <w:r>
        <w:rPr>
          <w:rtl w:val="1"/>
        </w:rPr>
        <w:t>درجة الحديث: صحيح لغيره</w:t>
      </w:r>
    </w:p>
    <w:p>
      <w:pPr>
        <w:bidi w:val="1"/>
        <w:jc w:val="start"/>
      </w:pPr>
      <w:r>
        <w:rPr>
          <w:rtl w:val="1"/>
        </w:rPr>
        <w:t>الشرح: الدلالة: الحكم بما أنزل الله تعالى - مظاهر توحيد الألوهية</w:t>
      </w:r>
    </w:p>
    <w:p>
      <w:pPr>
        <w:bidi w:val="1"/>
        <w:jc w:val="start"/>
      </w:pPr>
      <w:r>
        <w:rPr>
          <w:rtl w:val="1"/>
        </w:rPr>
        <w:t>الشرح: الدلالة: الإيمان بالتوراة والزبور وما ورد فيهما - الإيمان بالكتب المنزلة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