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إنّ قارون كان من قوم موسى.باب وإلى مدين.باب وإنّ يونس-كتاب الأنبياء-صحيح البخاري — رقم الحديث: 3414 — الرقم الفرعي: 99 — الرقم الأصلي: 3414</w:t>
        <w:br/>
      </w:r>
      <w:r>
        <w:rPr>
          <w:rtl w:val="1"/>
        </w:rPr>
        <w:t xml:space="preserve"> حدثنا يحيى بن بكير عن الليث عن عبد العزيز بن أبي سلمة عن عبد الله بن الفضل عن الأعرج عن أَبي هُريرةَ، رضي الله عنه،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بينَما يهوديٌّ يَعرِضُ سِلْعَتَه أُعْطِيَ بها شيئًا كَرِهَه،  </w:t>
      </w:r>
      <w:r>
        <w:rPr>
          <w:color w:val="000000"/>
          <w:rtl w:val="1"/>
        </w:rPr>
        <w:t xml:space="preserve">فقال: لا والَّذي اصْطَفَى موسى على البَشَرِ.  </w:t>
      </w:r>
      <w:r>
        <w:rPr>
          <w:color w:val="000000"/>
          <w:rtl w:val="1"/>
        </w:rPr>
        <w:t xml:space="preserve">فسَمِعَه رجلٌ منَ الأنصار، فقامَ فلَطَمَ وجهَه وقال: تقولُ: والَّذي اصْطَفَى موسى على البَشَرِ والنبيُّ ﷺ بينَ أظْهُرِنا!  </w:t>
      </w:r>
      <w:r>
        <w:rPr>
          <w:color w:val="000000"/>
          <w:rtl w:val="1"/>
        </w:rPr>
        <w:t xml:space="preserve">فذهبَ إليه فقال: أبا القاسمِ، إنَّ لي ذِمّةً وعَهْدًا، فما بالُ فلانٍ لَطَمَ وجهي؟  </w:t>
      </w:r>
      <w:r>
        <w:rPr>
          <w:color w:val="000000"/>
          <w:rtl w:val="1"/>
        </w:rPr>
        <w:t xml:space="preserve">فقال: «لِمَ لَطَمْتَ وجهَه؟». فذَكَرَه،  </w:t>
      </w:r>
      <w:r>
        <w:rPr>
          <w:color w:val="000000"/>
          <w:rtl w:val="1"/>
        </w:rPr>
        <w:t xml:space="preserve">فغَضِبَ النبيُّ ﷺ حتَّى رُئِيَ في وجهِه،  </w:t>
      </w:r>
      <w:r>
        <w:rPr>
          <w:color w:val="000000"/>
          <w:rtl w:val="1"/>
        </w:rPr>
        <w:t xml:space="preserve">ثمَّ قال: «لا تُفَضِّلوا بينَ أنبياءِ الله،  </w:t>
      </w:r>
      <w:r>
        <w:rPr>
          <w:color w:val="000000"/>
          <w:rtl w:val="1"/>
        </w:rPr>
        <w:t xml:space="preserve">فإنَّه يُنفَخُ في الصُّورِ، فيَصْعَقُ مَن في السَّماواتِ ومَن في الأرضِ إلَّا مَن شاءَ اللهُ،  </w:t>
      </w:r>
      <w:r>
        <w:rPr>
          <w:color w:val="000000"/>
          <w:rtl w:val="1"/>
        </w:rPr>
        <w:t xml:space="preserve">ثمَّ يُنفَخُ فيه أُخرَى، فأكونُ أوَّلَ مَن بُعِثَ، فإذا موسى آخِذٌ بالعَرْشِ، فلا أدري أحُوسِبَ بصَعْقَتِه يومَ الطُّورِ أم بُعِثَ قَبْلي؟». </w:t>
      </w:r>
    </w:p>
    <w:p>
      <w:pPr>
        <w:bidi w:val="1"/>
        <w:jc w:val="start"/>
      </w:pPr>
      <w:r>
        <w:rPr>
          <w:rtl w:val="1"/>
        </w:rPr>
        <w:t>الشرح: الدلالة: حرية التملك والعمل لأهل الذمة - حقوق أهل الذمة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