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 — الرقم الفرعي: 99 — الرقم الأصلي: 190</w:t>
        <w:br/>
      </w:r>
      <w:r>
        <w:rPr>
          <w:rtl w:val="1"/>
        </w:rPr>
        <w:t xml:space="preserve"> حدثنا وكيع حدثنا سفيان عن أبي يعفور العبديّ قال:سمعت شيخاً ملاحظة بمكّة في إمارة الحجّاج يحدث عن عمر بن الخطاب أنّ النبيّ صلى الله عليه وسلم</w:t>
        <w:br/>
      </w:r>
      <w:r>
        <w:rPr>
          <w:color w:val="FF0000"/>
          <w:rtl w:val="1"/>
        </w:rPr>
        <w:t xml:space="preserve">قال له: يا عمر، إنّك رجُلٌ قويّ، لا تُزاحم على الحجر فتؤذي الضعيف،  </w:t>
      </w:r>
      <w:r>
        <w:rPr>
          <w:color w:val="FF0000"/>
          <w:rtl w:val="1"/>
        </w:rPr>
        <w:t xml:space="preserve">إن وجدتَ خلوة فاستلمه، وإلاّ فاستقبله فهلّل وكبِّر.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