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الأكل مع المجذوم-كتاب الأطعمة-سنن الترمذي — رقم الحديث: 1817 — الرقم الفرعي: 99 — الرقم الأصلي: 1818</w:t>
        <w:br/>
      </w:r>
      <w:r>
        <w:rPr>
          <w:rtl w:val="1"/>
        </w:rPr>
        <w:t xml:space="preserve"> حدثنا أحمد بن سعيد الأشقر و إبراهيم بن يعقوب قالا:حدثنا يونس بن محمد حدثنا المُفضّل بن فَضالة عن حبيب بن الشهيد عن محمد بن المُنكدِر عن جابر بن عبد الله</w:t>
        <w:br/>
      </w:r>
      <w:r>
        <w:rPr>
          <w:color w:val="FF0000"/>
          <w:rtl w:val="1"/>
        </w:rPr>
        <w:t xml:space="preserve">أنَّ رَسولَ اللهِ ﷺ ‌أخذَ ‌بِيَدِ ‌مَجْذُومٍ فأدْخلَهُ مَعهُ في القَصْعةِ، ثُمَّ قال: "كُلْ بِسمِ الله، ثِقةً باللهِ، وتَوكُّلًا عَليْهِ". </w:t>
      </w:r>
      <w:r>
        <w:rPr>
          <w:color w:val="000000"/>
          <w:rtl w:val="1"/>
        </w:rPr>
        <w:t xml:space="preserve">هذا حديثٌ غريبٌ، لا نَعْرِفُه إلّا من حديثِ يُونُسَ بن محمدٍ، عن المُفَضَّلِ بن فَضَالةَ، والمُفَضَّلُ بن فَضَالةَ هذا شَيْخٌ بَصْرِيٌّ، والمُفَضَّلُ بن فَضَالةَ شَيْخٌ آخَرُ مِصْرِيٌّ أوْثَقُ من هذا وأشْهرُ. </w:t>
      </w:r>
      <w:r>
        <w:rPr>
          <w:color w:val="000000"/>
          <w:rtl w:val="1"/>
        </w:rPr>
        <w:t xml:space="preserve">ورَوَى شُعبةُ هذا الحديثَ عن حَبِيبِ بن الشّهيدِ، عن ابن بُرَيْدةَ: أنَّ عُمرَ أخَذَ بِيدِ مَجْذُومٍ، وحديثُ شُعبةَ أشْبهُ عِنْدِي وأصَحُّ. </w:t>
      </w:r>
    </w:p>
    <w:p>
      <w:pPr>
        <w:bidi w:val="1"/>
        <w:jc w:val="start"/>
      </w:pPr>
      <w:r>
        <w:rPr>
          <w:rtl w:val="1"/>
        </w:rPr>
        <w:t xml:space="preserve">درجة الحديث: إسناده ضعيف </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الأذكار للطعام والشراب و أدعيته - الأذكار والدعوات</w:t>
      </w:r>
    </w:p>
    <w:p>
      <w:pPr>
        <w:bidi w:val="1"/>
        <w:jc w:val="start"/>
      </w:pPr>
      <w:r>
        <w:rPr>
          <w:rtl w:val="1"/>
        </w:rPr>
        <w:t>الشرح: الدلالة: الإخلاص والتوكل - مظاهر توحيد الألوهية</w:t>
      </w:r>
    </w:p>
    <w:p>
      <w:pPr>
        <w:bidi w:val="1"/>
        <w:jc w:val="start"/>
      </w:pPr>
      <w:r>
        <w:rPr>
          <w:rtl w:val="1"/>
        </w:rPr>
        <w:t>الشرح: الدلالة: آثار الإيمان بالله تعالى في حياة المسلم - الإيمان بالله تعالى</w:t>
      </w:r>
    </w:p>
    <w:p>
      <w:pPr>
        <w:bidi w:val="1"/>
        <w:jc w:val="start"/>
      </w:pPr>
      <w:r>
        <w:rPr>
          <w:rtl w:val="1"/>
        </w:rPr>
        <w:t>الشرح: الدلالة: أثر الايمان بالقضاء والقدر في حياة المسلم - الإيمان بالقدر</w:t>
      </w:r>
    </w:p>
    <w:p>
      <w:pPr>
        <w:bidi w:val="1"/>
        <w:jc w:val="start"/>
      </w:pPr>
      <w:r>
        <w:rPr>
          <w:rtl w:val="1"/>
        </w:rPr>
        <w:t>الشرح: الدلالة: القدر والطب والرقية والعدوى - القدر وعلاقته بالأسباب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