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9895 — الرقم الفرعي: 99 — الرقم الأصلي: 9895 — ج: 2 — ص: 457</w:t>
        <w:br/>
      </w:r>
      <w:r>
        <w:rPr>
          <w:rtl w:val="1"/>
        </w:rPr>
        <w:t xml:space="preserve"> حدثنا محمد بن جعفر قال:ثنا شعبة قال:سمعت العلاء يحدث عن أبيه عن أبي هريرة عن النبيّ صلى الله عليه وسلم</w:t>
        <w:br/>
      </w:r>
      <w:r>
        <w:rPr>
          <w:color w:val="000000"/>
          <w:rtl w:val="1"/>
        </w:rPr>
        <w:t xml:space="preserve">أنّه قال:  </w:t>
      </w:r>
      <w:r>
        <w:rPr>
          <w:color w:val="000000"/>
          <w:rtl w:val="1"/>
        </w:rPr>
        <w:t xml:space="preserve">«الإيمانُ يَمَان،  </w:t>
      </w:r>
      <w:r>
        <w:rPr>
          <w:color w:val="FF0000"/>
          <w:rtl w:val="1"/>
        </w:rPr>
        <w:t xml:space="preserve">والكُفرُ مِن قِبَل المَشرِق،  </w:t>
      </w:r>
      <w:r>
        <w:rPr>
          <w:color w:val="FF0000"/>
          <w:rtl w:val="1"/>
        </w:rPr>
        <w:t xml:space="preserve">وإنَّ السَّكِينةَ في أَهلِ الغَنَم،  </w:t>
      </w:r>
      <w:r>
        <w:rPr>
          <w:color w:val="FF0000"/>
          <w:rtl w:val="1"/>
        </w:rPr>
        <w:t xml:space="preserve">وإنَّ الرِّياءَ والفَخرَ في أَهلِ الفَدَّادِينَ أَهلِ الوَبَر وأَهلِ الخَيل،  </w:t>
      </w:r>
      <w:r>
        <w:rPr>
          <w:color w:val="FF0000"/>
          <w:rtl w:val="1"/>
        </w:rPr>
        <w:t xml:space="preserve">ويأتي المَسيحُ مِن قِبَل المَشرِقِ وهمَّتُه المَدينةُ، حتى إذا جاء دُبُرَ أُحدٍ تلقَّته المَلائكةُ فضَربَتْ وجهَه قِبَل الشام، هنالك يَهْلِك، هنالك يَهْلِك».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وأشراط الساعة الصغرى المتعلقة بالشام والعراق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