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مَن رأى أن لا يجمع بينهما-كتاب الأدب-سنن أبي داود — رقم الحديث: 4966 — الرقم الفرعي: 99 — الرقم الأصلي: 4966</w:t>
        <w:br/>
      </w:r>
      <w:r>
        <w:rPr>
          <w:rtl w:val="1"/>
        </w:rPr>
        <w:t xml:space="preserve"> حدثنا مسلم بن إبراهيم ثنا هشام عن أبي الزبير عن جابر</w:t>
        <w:br/>
      </w:r>
      <w:r>
        <w:rPr>
          <w:color w:val="FF0000"/>
          <w:rtl w:val="1"/>
        </w:rPr>
        <w:t xml:space="preserve">أنّ النّبيَّ ﷺ ، قال: «مَن تَسمَّى باسمِي فلا يَكتَني بكُنيَتِي، ومَن اكتَنَى بكُنيتِي فلا يَتسمَّى باسمِي».  </w:t>
      </w:r>
      <w:r>
        <w:rPr>
          <w:color w:val="000000"/>
          <w:rtl w:val="1"/>
        </w:rPr>
        <w:t xml:space="preserve">قال أبو داود: ورَوى بهذا المعنى ابنُ عَجْلان، عن أبيه، عن أَبي هُريرةَ.  </w:t>
      </w:r>
      <w:r>
        <w:rPr>
          <w:color w:val="000000"/>
          <w:rtl w:val="1"/>
        </w:rPr>
        <w:t xml:space="preserve">ورُوى عن أبي زرعة، عن أبي هريرة، مختلفًا على الروايتين.  </w:t>
      </w:r>
      <w:r>
        <w:rPr>
          <w:color w:val="000000"/>
          <w:rtl w:val="1"/>
        </w:rPr>
        <w:t xml:space="preserve">وكذلك رواية عبد الرحمن بن أبي عَمرةَ، عن أبي هُريرة، اختُلف فيه: رواه الثوريّ وابن جُرَيج على ما قال أبو الزُّبير، ورواه مَعقِل بن عُبيد الله على ما قال ابن سيرين.  </w:t>
      </w:r>
      <w:r>
        <w:rPr>
          <w:color w:val="000000"/>
          <w:rtl w:val="1"/>
        </w:rPr>
        <w:t xml:space="preserve">واختُلف فيه على موسى بن يَسار، عن أبي هُريرةَ أيضًا، على القولين: اختَلَف فيه حمادُ بن خالد وابنُ أبي فُدَيك.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ما جاء في التسمية باسمه والتكني بكنيته ﷺ - شرف نسب النبي ﷺ وأسماؤه وكنيته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