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المتيمّم يجد الماء بعد ما يصلّي،في الوقت-كتاب الطهارة-سنن أبي داود — رقم الحديث: 338 — الرقم الفرعي: 99 — الرقم الأصلي: 338</w:t>
        <w:br/>
      </w:r>
      <w:r>
        <w:rPr>
          <w:rtl w:val="1"/>
        </w:rPr>
        <w:t xml:space="preserve"> حدثنا محمد بن إسحاق المسيبي أخبرنا عبد الله بن نافع عن الليث بن سعد عن بكر بن سوادة عن عطاء بن يسار عن أبي سعيد الخدريّ</w:t>
        <w:br/>
      </w:r>
      <w:r>
        <w:rPr>
          <w:color w:val="000000"/>
          <w:rtl w:val="1"/>
        </w:rPr>
        <w:t xml:space="preserve">قال: خرجَ رجلانِ في سفَرٍ،  </w:t>
      </w:r>
      <w:r>
        <w:rPr>
          <w:color w:val="FF0000"/>
          <w:rtl w:val="1"/>
        </w:rPr>
        <w:t xml:space="preserve">فحَضَرَتِ الصَّلاةُ وليسَ معهما ماءٌ، فتَيَمَّما صَعيداً طيباً، فصَلَّيا،  </w:t>
      </w:r>
      <w:r>
        <w:rPr>
          <w:color w:val="FF0000"/>
          <w:rtl w:val="1"/>
        </w:rPr>
        <w:t xml:space="preserve">ثمَّ وَجَدا الماءَ في الوقتِ، فأعادَ أحدهما الصَّلاةَ والوضوءَ، ولم يُعِدِ الآخَرُ،  </w:t>
      </w:r>
      <w:r>
        <w:rPr>
          <w:color w:val="000000"/>
          <w:rtl w:val="1"/>
        </w:rPr>
        <w:t xml:space="preserve">ثمَّ أتيا رسولَ الله ﷺ فذكرا ذلك له،  </w:t>
      </w:r>
      <w:r>
        <w:rPr>
          <w:color w:val="FF0000"/>
          <w:rtl w:val="1"/>
        </w:rPr>
        <w:t xml:space="preserve">فقال للذي لم يُعِدْ: «أصَبتَ السُّنَّةَ وأجزَتْكَ صَلاتُكَ»  </w:t>
      </w:r>
      <w:r>
        <w:rPr>
          <w:color w:val="FF0000"/>
          <w:rtl w:val="1"/>
        </w:rPr>
        <w:t xml:space="preserve">وقال للذي توضَّأ وأعادَ: «لكَ الأجرُ مَرَّتين». </w:t>
      </w:r>
      <w:r>
        <w:rPr>
          <w:color w:val="000000"/>
          <w:rtl w:val="1"/>
        </w:rPr>
        <w:t xml:space="preserve">قال أبو داود: غيرُ ابن نافع يرويه عن اللَّيث، عن عَميرة بن أبي ناجية، عن بكر بن سَوَادة، عن عطاء بن يَسَار، عن النبيِّ ﷺ. </w:t>
      </w:r>
      <w:r>
        <w:rPr>
          <w:color w:val="000000"/>
          <w:rtl w:val="1"/>
        </w:rPr>
        <w:t xml:space="preserve">قال أبو داود: وذِكرُ أبى سعيد في هذا الحديث ليس بمحفوظ، هو مُرسَل.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p>
      <w:pPr>
        <w:bidi w:val="1"/>
        <w:jc w:val="start"/>
      </w:pPr>
      <w:r>
        <w:rPr>
          <w:rtl w:val="1"/>
        </w:rPr>
        <w:t>الشرح: الدلالة: التحري والدقة والتمحيص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العملية (الواقعية)</w:t>
      </w:r>
    </w:p>
    <w:p>
      <w:pPr>
        <w:bidi w:val="1"/>
        <w:jc w:val="start"/>
      </w:pPr>
      <w:r>
        <w:rPr>
          <w:rtl w:val="1"/>
        </w:rPr>
        <w:t>الشرح: الدلالة: المرسل - أوصاف السند من حيث الاتصال والانقطاع</w:t>
      </w:r>
    </w:p>
    <w:p>
      <w:pPr>
        <w:bidi w:val="1"/>
        <w:jc w:val="start"/>
      </w:pPr>
      <w:r>
        <w:rPr>
          <w:rtl w:val="1"/>
        </w:rPr>
        <w:t>الشرح: الدلالة: فقدان الماء - أسباب التيمم</w:t>
      </w:r>
    </w:p>
    <w:p>
      <w:pPr>
        <w:bidi w:val="1"/>
        <w:jc w:val="start"/>
      </w:pPr>
      <w:r>
        <w:rPr>
          <w:rtl w:val="1"/>
        </w:rPr>
        <w:t>الشرح: الدلالة: التيمم بالتراب والصعيد وأجزاء الأرض - ما يتيمم به</w:t>
      </w:r>
    </w:p>
    <w:p>
      <w:pPr>
        <w:bidi w:val="1"/>
        <w:jc w:val="start"/>
      </w:pPr>
      <w:r>
        <w:rPr>
          <w:rtl w:val="1"/>
        </w:rPr>
        <w:t>الشرح: الدلالة: صلاة المتيمم إذا زال سبب التيمم - الصلاة بالتيمم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