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16837 — الرقم الفرعي: 99 — الرقم الأصلي: 16837 — ج: 4 — ص: 92</w:t>
        <w:br/>
      </w:r>
      <w:r>
        <w:rPr>
          <w:rtl w:val="1"/>
        </w:rPr>
        <w:t xml:space="preserve"> حدثنا عفّان ثنا شعبة قال:أنبأني سعد بن إبراهيم عن معبد الجهنيّ</w:t>
        <w:br/>
      </w:r>
      <w:r>
        <w:rPr>
          <w:color w:val="000000"/>
          <w:rtl w:val="1"/>
        </w:rPr>
        <w:t xml:space="preserve">قال: كانَ مُعاويةُ، قَلَّما يُحدِّث عن رَسُولِ الله ﷺ شيئًا، ويَقُولُ هؤلاءِ الكَلِمات، قَلَّما يَدَعُهُنَّ، أو يُحدِّثُ بِهنَّ في الجمع،  </w:t>
      </w:r>
      <w:r>
        <w:rPr>
          <w:color w:val="000000"/>
          <w:rtl w:val="1"/>
        </w:rPr>
        <w:t xml:space="preserve">عن النبي ﷺ قال: «مَن يُرِدِ اللهُ بهِ خَيرًا يُفَقِّهْه في الدِّين،  </w:t>
      </w:r>
      <w:r>
        <w:rPr>
          <w:color w:val="FF0000"/>
          <w:rtl w:val="1"/>
        </w:rPr>
        <w:t xml:space="preserve">وإن هذا المالَ حُلوٌ خَضِرٌ، فمَن يأخُذه بحَقِّه يُبارَك له فِيه،  </w:t>
      </w:r>
      <w:r>
        <w:rPr>
          <w:color w:val="FF0000"/>
          <w:rtl w:val="1"/>
        </w:rPr>
        <w:t xml:space="preserve">وإيَّاكُم والتَّمادُح، فإنَّه الذَّبح».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أخلاقية ونفسية - خصائص السكان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الكسب والمعاش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المدح والثناء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ظهور الخيانة والكذب والنفاق والكبر- الفتن المتعلقة بالأخلاق والسلوك #####</w:t>
      </w:r>
    </w:p>
    <w:p>
      <w:pPr>
        <w:bidi w:val="1"/>
        <w:jc w:val="start"/>
      </w:pPr>
      <w:r>
        <w:rPr>
          <w:rtl w:val="1"/>
        </w:rPr>
        <w:t>الشرح: الدلالة: الكسب الحلال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