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140 — الرقم الفرعي: 99 — الرقم الأصلي: 140</w:t>
        <w:br/>
      </w:r>
      <w:r>
        <w:rPr>
          <w:rtl w:val="1"/>
        </w:rPr>
        <w:t xml:space="preserve"> حدثنا أبو سعيد حدثنا ابن لَهيعة حدثنا بُكَير عن سعيد بن المسيِّب عن عمر</w:t>
        <w:br/>
      </w:r>
      <w:r>
        <w:rPr>
          <w:color w:val="000000"/>
          <w:rtl w:val="1"/>
        </w:rPr>
        <w:t xml:space="preserve">قَالَ: غَزَونَا مَعَ رَسُولِ اللهِ ﷺ فِي رَمضانَ، وَالفَتْحَ فِي رَمضانَ، فَأفطَرنَا فِيهِمَا.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