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قوله تعالى ولا تلقوا بأيديكم إلى التهلكة-كتاب الجهاد-سنن أبي داود — رقم الحديث: 2512 — الرقم الفرعي: 99 — الرقم الأصلي: 2512</w:t>
        <w:br/>
      </w:r>
      <w:r>
        <w:rPr>
          <w:rtl w:val="1"/>
        </w:rPr>
        <w:t xml:space="preserve"> حدثنا أحمد بن عمرو بن السرح ثنا ابن وهب عن حَيْوة بن شُريح و ابن لهيعة عن يزيد بن أبي حبيب عن أسلم أبي عمران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غَزَونا من المدينة نريد القُسطَنْطِينيّة،  </w:t>
      </w:r>
      <w:r>
        <w:rPr>
          <w:color w:val="000000"/>
          <w:rtl w:val="1"/>
        </w:rPr>
        <w:t xml:space="preserve">وعلى الجماعة عبدُ الرحمن بن خالد بن الوليد،  </w:t>
      </w:r>
      <w:r>
        <w:rPr>
          <w:color w:val="000000"/>
          <w:rtl w:val="1"/>
        </w:rPr>
        <w:t xml:space="preserve">والرومُ مُلْصِقُو ظُهورِهم بحائطِ المدينة،  </w:t>
      </w:r>
      <w:r>
        <w:rPr>
          <w:color w:val="FF0000"/>
          <w:rtl w:val="1"/>
        </w:rPr>
        <w:t xml:space="preserve">فحَمَل رجلٌ على العدوِّ، فقال الناسُ: مَهْ مَهْ، لا إله إلّا الله، يُلقي بيدَيهِ إلى التَّهْلُكَة،  </w:t>
      </w:r>
      <w:r>
        <w:rPr>
          <w:color w:val="FF0000"/>
          <w:rtl w:val="1"/>
        </w:rPr>
        <w:t xml:space="preserve">فقال أبو أيوب: إنما نزلت هذه الآيةُ فينا معشرَ الأنصارِ، لمّا نَصَرَ اللهُ نبيَّه ﷺ وأظهرَ الإسلامَ،  </w:t>
      </w:r>
      <w:r>
        <w:rPr>
          <w:color w:val="FF0000"/>
          <w:rtl w:val="1"/>
        </w:rPr>
        <w:t xml:space="preserve">قلنا: هَلُمَّ نُقيمُ في أموالنا ونُصلِحُها، فأنزل الله عزَّ وجلَّ: {وَأَنْفِقُوا فِي سَبِيلِ اللَّهِ وَلَا تُلْقُوا بِأَيْدِيكُمْ إِلَى التَّهْلُكَةِ} [البقرة: ١٩٥]،  </w:t>
      </w:r>
      <w:r>
        <w:rPr>
          <w:color w:val="FF0000"/>
          <w:rtl w:val="1"/>
        </w:rPr>
        <w:t xml:space="preserve">فالإلقاء بالأيدي إلى التَّهْلُكة: أن نُقيمَ في أموالِنا ونُصلِحَها، ونَدَعَ الجهاد.  </w:t>
      </w:r>
      <w:r>
        <w:rPr>
          <w:color w:val="FF0000"/>
          <w:rtl w:val="1"/>
        </w:rPr>
        <w:t xml:space="preserve">قال أبو عِمْران: فلم يَزَلْ أبو أيوبَ يجاهدُ في سبيلِ اللَّه حتى دُفِنَ بالقُسطَنْطِينيّة.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ذم ترك الجهاد وعقوبته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توعية الجمهور بخطر الإشاعة ووسائل العدو في نشرها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إظهار الهيبة - أهداف الهجوم</w:t>
      </w:r>
    </w:p>
    <w:p>
      <w:pPr>
        <w:bidi w:val="1"/>
        <w:jc w:val="start"/>
      </w:pPr>
      <w:r>
        <w:rPr>
          <w:rtl w:val="1"/>
        </w:rPr>
        <w:t>الشرح: الدلالة: تدمير العدو - أهداف الهجوم</w:t>
      </w:r>
    </w:p>
    <w:p>
      <w:pPr>
        <w:bidi w:val="1"/>
        <w:jc w:val="start"/>
      </w:pPr>
      <w:r>
        <w:rPr>
          <w:rtl w:val="1"/>
        </w:rPr>
        <w:t>الشرح: الدلالة: الهجوم المباشر (الجبهوي ) - أشكال الهجوم</w:t>
      </w:r>
    </w:p>
    <w:p>
      <w:pPr>
        <w:bidi w:val="1"/>
        <w:jc w:val="start"/>
      </w:pPr>
      <w:r>
        <w:rPr>
          <w:rtl w:val="1"/>
        </w:rPr>
        <w:t>الشرح: الدلالة: هجوم الفرد على المجموعة... - أشكال الهجوم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قتال العدوّ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الجهاد بالمال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فضل انغماس الرجل الشجاع أو الفئة القليلة في العدو رغبة في الشهادة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