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الرخصة في القعود من العذر-كتاب الجهاد-سنن أبي داود — رقم الحديث: 2507 — الرقم الفرعي: 99 — الرقم الأصلي: 2507</w:t>
        <w:br/>
      </w:r>
      <w:r>
        <w:rPr>
          <w:rtl w:val="1"/>
        </w:rPr>
        <w:t xml:space="preserve"> حدثنا سعيد بن منصور ثنا عبد الرحمن بن أبي الزناد عن أبيه عن خارجة بن زيد عن زيد بن ثابت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إلى جنْبِ رسولِ الله ﷺ فغشِيَتْه السكينةُ  </w:t>
      </w:r>
      <w:r>
        <w:rPr>
          <w:color w:val="FF0000"/>
          <w:rtl w:val="1"/>
        </w:rPr>
        <w:t xml:space="preserve">فوقعتْ فخذُ رسولِ الله ﷺ على فَخِذي، فما وجدتُ ثِقلَ شيءٍ أثقلَ من فَخِذِ رسولِ الله ﷺ، ثم سُرِّيَ عنه،  </w:t>
      </w:r>
      <w:r>
        <w:rPr>
          <w:color w:val="FF0000"/>
          <w:rtl w:val="1"/>
        </w:rPr>
        <w:t xml:space="preserve">فقال: «اكتُبْ» فكتبتُ في كتِفٍ: (لا يستوي القاعدون من المؤمنين والمجاهدون في سبيل الله) إلى آخر الآية،  </w:t>
      </w:r>
      <w:r>
        <w:rPr>
          <w:color w:val="FF0000"/>
          <w:rtl w:val="1"/>
        </w:rPr>
        <w:t xml:space="preserve">فقام ابنُ أُم مكتومٍ، وكان رجلاً أعمى، لمّا سمع فضيلةَ المجاهدين، فقال: يا رسول الله، فكيف بمن لا يستطيعُ الجهادَ من المؤمنين؟  </w:t>
      </w:r>
      <w:r>
        <w:rPr>
          <w:color w:val="FF0000"/>
          <w:rtl w:val="1"/>
        </w:rPr>
        <w:t xml:space="preserve">فلمّا قَضَى كلامَه غشيتْ رسولَ الله ﷺ السَّكينةُ فوقعتْ فخذُه على فَخِذِي، ووجدت من ثِقلِها في المرة الثانية كما وجدت في المرة الأُولى ثم سُرِّيَ عن رسولِ الله ﷺ،  </w:t>
      </w:r>
      <w:r>
        <w:rPr>
          <w:color w:val="FF0000"/>
          <w:rtl w:val="1"/>
        </w:rPr>
        <w:t xml:space="preserve">فقال: «اقرأ يا زيدُ» فقرأتُ: ﴿لَا يَسْتَوِي الْقَاعِدُونَ مِنَ الْمُؤْمِنِينَ﴾ [النساء: 95] فقال رسولُ الله ﷺ ﴿غَيْرُ أُولِي الضَّرَرِ﴾ الآية كلها [النساء: 95]،  </w:t>
      </w:r>
      <w:r>
        <w:rPr>
          <w:color w:val="000000"/>
          <w:rtl w:val="1"/>
        </w:rPr>
        <w:t xml:space="preserve">قال زيد: فأنزلها الله عز وجل وحدها، فألحقتُها، والذي نفسي بيده لكأنّي أَنظُرُ إلى مُلْحَقِها عند صَدْعٍ في كَتِفٍ.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الكتابة وكتبة الوحي</w:t>
      </w:r>
    </w:p>
    <w:p>
      <w:pPr>
        <w:bidi w:val="1"/>
        <w:jc w:val="start"/>
      </w:pPr>
      <w:r>
        <w:rPr>
          <w:rtl w:val="1"/>
        </w:rPr>
        <w:t>الشرح: الدلالة: آثار الوحي على النبي عليه السلام - آثار الوحي</w:t>
      </w:r>
    </w:p>
    <w:p>
      <w:pPr>
        <w:bidi w:val="1"/>
        <w:jc w:val="start"/>
      </w:pPr>
      <w:r>
        <w:rPr>
          <w:rtl w:val="1"/>
        </w:rPr>
        <w:t>الشرح: الدلالة: آثار الوحي على الصحابة - آثار الوحي</w:t>
      </w:r>
    </w:p>
    <w:p>
      <w:pPr>
        <w:bidi w:val="1"/>
        <w:jc w:val="start"/>
      </w:pPr>
      <w:r>
        <w:rPr>
          <w:rtl w:val="1"/>
        </w:rPr>
        <w:t>الشرح: الدلالة: تلاوة الرسول القرآن على الناس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الأمر بكتابة القرآن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أدوات كتابة القرآن و وسائلها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