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القراءة خلف الإمام-كتاب إقامة الصلاة-سنن ابن ماجة — رقم الحديث: 839 — الرقم الفرعي: 99 — الرقم الأصلي: 839</w:t>
        <w:br/>
      </w:r>
      <w:r>
        <w:rPr>
          <w:rtl w:val="1"/>
        </w:rPr>
        <w:t xml:space="preserve"> حدثنا أبو كريب ثنا محمد بن الفُضيل ح وحدثنا سُويد بن سعيد ثنا عليّ بن مُسهِر جميعاً عن أبي سفيان السّعديّ عن أبي نضرة عن أبي سعيد قال:قال رسول الله صلى الله عليه وسلم</w:t>
        <w:br/>
      </w:r>
      <w:r>
        <w:rPr>
          <w:color w:val="000000"/>
          <w:rtl w:val="1"/>
        </w:rPr>
        <w:t xml:space="preserve">لا صلاةَ لِمَن لَم يَقرَأْ في كُلِّ رَكعةٍ (الحَمْدُ) وسُورَةٌ، في فَرِيضَةٍ أَو غَيرِها.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