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عند الإحرام-كتاب الحجّ-صحيح البخاري — رقم الحديث: 1539 — الرقم الفرعي: 99 — الرقم الأصلي: 1539</w:t>
        <w:br/>
      </w:r>
      <w:r>
        <w:rPr>
          <w:rtl w:val="1"/>
        </w:rPr>
        <w:t xml:space="preserve"> حدثنا عبد الله بن يوسف أخبرنا مالك عن عبد الرحمن بن القاسم عن أبيه عن عائشة رضي الله عنها ملاحظة زوج النبي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أُطيِّبُ رسولَ الله ﷺ لإحرامِه حينَ يُحرِمُ،  </w:t>
      </w:r>
      <w:r>
        <w:rPr>
          <w:color w:val="FF0000"/>
          <w:rtl w:val="1"/>
        </w:rPr>
        <w:t xml:space="preserve">ولِحِلِّه قبلَ أنْ يَطُوفَ بالبيتِ. 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آداب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