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الترغيب في قيام رمضان وهو التراويح-كتاب صلاة المسافرين وقصرها-صحيح مسلم — رقم الحديث: 762 — الرقم الفرعي: 1 — الرقم الأصلي: 762</w:t>
        <w:br/>
      </w:r>
      <w:r>
        <w:rPr>
          <w:rtl w:val="1"/>
        </w:rPr>
        <w:t xml:space="preserve"> حدثنا محمد بن مِهران الرازيّ حدثنا الوليد بن مسلم حدثنا الأوزاعيّ حدثني عَبدة عن زِرّ</w:t>
        <w:br/>
      </w:r>
      <w:r>
        <w:rPr>
          <w:color w:val="FF0000"/>
          <w:rtl w:val="1"/>
        </w:rPr>
        <w:t xml:space="preserve">قال: سَمعتُ أُبيَّ بنَ كَعبٍ يقول - وقيلَ له إنَّ عبدَ الله بنَ مَسعودٍ يقول: مَن قامَ السَّنَةَ أَصابَ ليلةَ القَدْر -  </w:t>
      </w:r>
      <w:r>
        <w:rPr>
          <w:color w:val="FF0000"/>
          <w:rtl w:val="1"/>
        </w:rPr>
        <w:t xml:space="preserve">فقال أُبيّ: واللهِ الذي لا إلهَ إلّا هو، إنّها لَفِي رَمضانَ - يَحلِفُ ما يَستَثنِي -  </w:t>
      </w:r>
      <w:r>
        <w:rPr>
          <w:color w:val="FF0000"/>
          <w:rtl w:val="1"/>
        </w:rPr>
        <w:t xml:space="preserve">وواللهِ إنِّي لأَعلَمُ أَيَّ لَيلةٍ هي، هي اللَّيلةُ التي أَمَرَنا بها رَسولُ الله ﷺ بقِيامِها،  </w:t>
      </w:r>
      <w:r>
        <w:rPr>
          <w:color w:val="FF0000"/>
          <w:rtl w:val="1"/>
        </w:rPr>
        <w:t xml:space="preserve">هي لَيلةُ صَبيحةِ سَبعٍ وعِشرينَ،  </w:t>
      </w:r>
      <w:r>
        <w:rPr>
          <w:color w:val="FF0000"/>
          <w:rtl w:val="1"/>
        </w:rPr>
        <w:t xml:space="preserve">وأَمارتُها أن تَطلُعَ الشَّمسُ في صَبيحةِ يَومِها بَيضاءَ لا شُعاعَ لها.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قيام ليلة القدر وفضله - قيام رمضان وصلاة التراويح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