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5229 — الرقم الفرعي: 99 — الرقم الأصلي: 5229 — ج: 2 — ص: 59</w:t>
        <w:br/>
      </w:r>
      <w:r>
        <w:rPr>
          <w:rtl w:val="1"/>
        </w:rPr>
        <w:t xml:space="preserve"> حدثنا وكيع حدثنا سفيان و عبد الرزاق قال: أخبرنا سفيان عن عاصم بن عُبيدالله عن سالم عن ابن عمر أن عمر</w:t>
        <w:br/>
      </w:r>
      <w:r>
        <w:rPr>
          <w:color w:val="000000"/>
          <w:rtl w:val="1"/>
        </w:rPr>
        <w:t xml:space="preserve">اسْتَأْذَنَ النَّبِيَّ ﷺ فِي الْعُمْرَةِ فَأَذِنَ لَهُ. فَقَالَ: «يَا أَخِي أَشْرِكْنَا فِي صَالِحِ دُعَائِكَ وَلَا تَنْسَنَا»، قَالَ: عَبْدُ الرَّزَّاقِ فِي حَدِيثِهِ: فَقَالَ: عُمَرُ: مَا أُحِبُّ أَنَّ لِي بِهَا مَا طَلَعَتْ عَلَيْهِ الشَّمْسُ.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