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15904 — الرقم الفرعي: 99 — الرقم الأصلي: 15904 — ج: 3 — ص: 475</w:t>
        <w:br/>
      </w:r>
      <w:r>
        <w:rPr>
          <w:rtl w:val="1"/>
        </w:rPr>
        <w:t xml:space="preserve"> حدثنا عبد الله حدثني أبي قال:ثنا أبو أحمد محمد بن عبد الله عن الزبيريّ ثنا سعد ملاحظة يعني ابن أوس العبسيّ عن بلال العبسيّ قال:أنا عمران بن حصن الضبيّ</w:t>
        <w:br/>
      </w:r>
      <w:r>
        <w:rPr>
          <w:color w:val="000000"/>
          <w:rtl w:val="1"/>
        </w:rPr>
        <w:t xml:space="preserve">أنّه أَتى البَصرةَ، وبها عبدُ الله بنُ عبّاس أَميرًا،  </w:t>
      </w:r>
      <w:r>
        <w:rPr>
          <w:color w:val="000000"/>
          <w:rtl w:val="1"/>
        </w:rPr>
        <w:t xml:space="preserve">فإذا هو برجُلٍ قائمٍ في ظلِّ القَصر، يقول: صدَقَ اللهُ ورسولُه، صدَقَ اللهُ ورسولُه، لا يَزيدُ على ذلك،  </w:t>
      </w:r>
      <w:r>
        <w:rPr>
          <w:color w:val="000000"/>
          <w:rtl w:val="1"/>
        </w:rPr>
        <w:t xml:space="preserve">فدَنوتُ منه شيئًا، فقلتُ له: لقد أَكثرتَ مِن قولك: صدَقَ اللهُ ورسولُه، فقال: أَمَا واللهِ لئن شِئتَ لأَخبرتُك؟ فقلتُ: أجَل، فقال: اجِلس إذًا،  </w:t>
      </w:r>
      <w:r>
        <w:rPr>
          <w:color w:val="000000"/>
          <w:rtl w:val="1"/>
        </w:rPr>
        <w:t xml:space="preserve">فقال: إنِّي أَتيتُ رَسولَ الله ﷺ وهو بالمدينةِ في زمانِ كذا وكذا، وقد كان شَيخانِ للحَيِّ، قد انطَلقَ ابنٌ لهما، فلَحِق به، فقالا: إنكَ قادمٌ المدينةَ، وإنَّ ابنًا لنا قد لحِقَ بهذا الرَّجل، فأْتِه، فاطلُبْه منه، فإنْ أَبَى إلَّا الافتِداءَ فافتَدِه.  </w:t>
      </w:r>
      <w:r>
        <w:rPr>
          <w:color w:val="000000"/>
          <w:rtl w:val="1"/>
        </w:rPr>
        <w:t xml:space="preserve">فأَتيتُ المدينةَ، فدخلتُ على نبيِّ الله ﷺ، فقلتُ: يا نبيَّ الله، إنَّ شَيخَين للحيِّ أَمَرَاني أن أطلُبَ ابنًا لهما عِندَك، فقال: «تعرفُه؟» فقال: أَعرفُ نَسَبَه، فدعا الغُلامَ، فجاءَ، فقال: «هو ذا، فأْتِ به أَبَوْيه»  </w:t>
      </w:r>
      <w:r>
        <w:rPr>
          <w:color w:val="000000"/>
          <w:rtl w:val="1"/>
        </w:rPr>
        <w:t xml:space="preserve">فقلتُ: الفداءَ يا نبيَّ الله؟ قال: «إنّه لا يصلُحُ لنا آلَ محمَّدٍ أن نأكلَ ثمنَ أَحدٍ من وَلَدِ إسماعيل»  </w:t>
      </w:r>
      <w:r>
        <w:rPr>
          <w:color w:val="FF0000"/>
          <w:rtl w:val="1"/>
        </w:rPr>
        <w:t xml:space="preserve">ثم ضرَبَ على كتِفي، ثم قال: «لا أَخشَى على قريشٍ إلّا أَنفُسَها»  </w:t>
      </w:r>
      <w:r>
        <w:rPr>
          <w:color w:val="FF0000"/>
          <w:rtl w:val="1"/>
        </w:rPr>
        <w:t xml:space="preserve">قلتُ: وما لهم يا نبيَّ الله؟  </w:t>
      </w:r>
      <w:r>
        <w:rPr>
          <w:color w:val="FF0000"/>
          <w:rtl w:val="1"/>
        </w:rPr>
        <w:t xml:space="preserve">قال: «إنْ طالَ بك العمُرُ رأَيْتَهم هاهنا، حتَّى تَرى الناسَ بينَها كالغَنَم بين حَوضَين، مرّةً إلى هذا، ومرّةً إلى هذا»  </w:t>
      </w:r>
      <w:r>
        <w:rPr>
          <w:color w:val="FF0000"/>
          <w:rtl w:val="1"/>
        </w:rPr>
        <w:t xml:space="preserve">فأنا أَرى ناسًا يستأذنونَ على ابنِ عبّاسٍ، رأَيتُهم العامَ يَستأذِنونَ على معاويةَ، فذكرتُ ما قال النّبيُّ ﷺ 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