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أدعية النبيّ صلى الله عليه وسلم-كتاب الدعوات-سنن الترمذي — رقم الحديث: 3551 — الرقم الفرعي: 99 — الرقم الأصلي: 3547</w:t>
        <w:br/>
      </w:r>
      <w:r>
        <w:rPr>
          <w:rtl w:val="1"/>
        </w:rPr>
        <w:t xml:space="preserve"> حدثنا محمود بن غيلان حدثنا أبو داود الحفريّ عن سفيان الثوريّ عن عمرو بن مُرّة عن عبد الله بن الحارث عن طُليق بن قيس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النّبيُّ ﷺ يدعو يقول:  </w:t>
      </w:r>
      <w:r>
        <w:rPr>
          <w:color w:val="000000"/>
          <w:rtl w:val="1"/>
        </w:rPr>
        <w:t xml:space="preserve">«ربِّ أعنِّي ولا تُعِنْ علَيَّ،  </w:t>
      </w:r>
      <w:r>
        <w:rPr>
          <w:color w:val="000000"/>
          <w:rtl w:val="1"/>
        </w:rPr>
        <w:t xml:space="preserve">وانصُرْني ولا تَنصُرْ علَيَّ،  </w:t>
      </w:r>
      <w:r>
        <w:rPr>
          <w:color w:val="000000"/>
          <w:rtl w:val="1"/>
        </w:rPr>
        <w:t xml:space="preserve">وامكُرْ لي ولا تَمكُرْ علَيَّ،  </w:t>
      </w:r>
      <w:r>
        <w:rPr>
          <w:color w:val="000000"/>
          <w:rtl w:val="1"/>
        </w:rPr>
        <w:t xml:space="preserve">واهْدِني ويسِّرِ الهُدَى لي،  </w:t>
      </w:r>
      <w:r>
        <w:rPr>
          <w:color w:val="000000"/>
          <w:rtl w:val="1"/>
        </w:rPr>
        <w:t xml:space="preserve">وانصُرْني على مَن بغَى علَيَّ،  </w:t>
      </w:r>
      <w:r>
        <w:rPr>
          <w:color w:val="FF0000"/>
          <w:rtl w:val="1"/>
        </w:rPr>
        <w:t xml:space="preserve">ربِّ اجعَلْني لكَ شَكّارًا، لكَ ذَكّارًا، لكَ رَهّابًا، لكَ مِطْواعًا، لكَ مُخْبِتًا، إليكَ أوّاهًا مُنيبًا،  </w:t>
      </w:r>
      <w:r>
        <w:rPr>
          <w:color w:val="000000"/>
          <w:rtl w:val="1"/>
        </w:rPr>
        <w:t xml:space="preserve">ربِّ تقبَّلْ تَوبَتي، واغسِل حَوبَتي،  </w:t>
      </w:r>
      <w:r>
        <w:rPr>
          <w:color w:val="000000"/>
          <w:rtl w:val="1"/>
        </w:rPr>
        <w:t xml:space="preserve">وأجبْ دَعوَتي،  </w:t>
      </w:r>
      <w:r>
        <w:rPr>
          <w:color w:val="000000"/>
          <w:rtl w:val="1"/>
        </w:rPr>
        <w:t xml:space="preserve">وثبِّتْ حُجّتي، وسدِّدْ لِساني،  </w:t>
      </w:r>
      <w:r>
        <w:rPr>
          <w:color w:val="000000"/>
          <w:rtl w:val="1"/>
        </w:rPr>
        <w:t xml:space="preserve">واهْدِ قَلْبي، واسلُلْ سَخِيمةَ صَدْري». </w:t>
      </w:r>
      <w:r>
        <w:rPr>
          <w:color w:val="000000"/>
          <w:rtl w:val="1"/>
        </w:rPr>
        <w:t xml:space="preserve">قال محمود بن غَيلان: وحدثنا محمد بن بِشْر العَبديّ، عن سفيان الثوريّ، بهذا الاسناد نحوه.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قيم الخوف والرهبة والخشية والإشفاق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