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428 — الرقم الفرعي: 99 — الرقم الأصلي: 428</w:t>
        <w:br/>
      </w:r>
      <w:r>
        <w:rPr>
          <w:rtl w:val="1"/>
        </w:rPr>
        <w:t xml:space="preserve"> حدثنا عمرو بن عون أخبرنا خالد عن داود بن أبي هند عن أبي حرب بن أبي الأسود عن عبد الله بن فضالة عن أبيه</w:t>
        <w:br/>
      </w:r>
      <w:r>
        <w:rPr>
          <w:color w:val="FF0000"/>
          <w:rtl w:val="1"/>
        </w:rPr>
        <w:t xml:space="preserve">قال: عَلَّمَني رسولُ الله ﷺ فكان فيما عَلَّمَني: </w:t>
      </w:r>
      <w:r>
        <w:rPr>
          <w:color w:val="FF0000"/>
          <w:rtl w:val="1"/>
        </w:rPr>
        <w:t xml:space="preserve">«وحافِظْ على الصلَواتِ الخَمسِ»، </w:t>
      </w:r>
      <w:r>
        <w:rPr>
          <w:color w:val="000000"/>
          <w:rtl w:val="1"/>
        </w:rPr>
        <w:t xml:space="preserve">قال: قلتُ: إنَّ هذه ساعاتٌ لي فيها أشغالٌ، فمُرني بأمرٍ جامعٍ إذا أنا فَعَلتُه أجزَأَ عني، </w:t>
      </w:r>
      <w:r>
        <w:rPr>
          <w:color w:val="FF0000"/>
          <w:rtl w:val="1"/>
        </w:rPr>
        <w:t xml:space="preserve">فقال: «حافِظْ على العَصْرَينِ» </w:t>
      </w:r>
      <w:r>
        <w:rPr>
          <w:color w:val="FF0000"/>
          <w:rtl w:val="1"/>
        </w:rPr>
        <w:t xml:space="preserve">- وما كانت من لُغَتِنا - فقلتُ: وما العَصرانِ؟ </w:t>
      </w:r>
      <w:r>
        <w:rPr>
          <w:color w:val="FF0000"/>
          <w:rtl w:val="1"/>
        </w:rPr>
        <w:t xml:space="preserve">فقال: «صلاةٌ قبلَ طُلوعِ الشَّمسِ، وصلاة قبلَ غُروبِها».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