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لا تقوم الساعة حتى يمر الرجل بقبر الرجل،فيتمنى أن يكون مكان الميت ،من البلاء-كتاب الفتن وأشراط الساعة-صحيح مسلم — رقم الحديث: 2913 — الرقم الفرعي: 1 — الرقم الأصلي: 2913</w:t>
        <w:br/>
      </w:r>
      <w:r>
        <w:rPr>
          <w:rtl w:val="1"/>
        </w:rPr>
        <w:t xml:space="preserve"> حدثنا زهير بن حرب و عليّ بن حُجْر ملاحظة واللفظ لزهير قالا:حدثنا إسماعيل بن إبراهيم عن الجُرَيْريّ عن أبي نضرة</w:t>
        <w:br/>
      </w:r>
      <w:r>
        <w:rPr>
          <w:color w:val="000000"/>
          <w:rtl w:val="1"/>
        </w:rPr>
        <w:t xml:space="preserve">قال: كنَّا عندَ جابر بنِ عبدِ الله،  </w:t>
      </w:r>
      <w:r>
        <w:rPr>
          <w:color w:val="FF0000"/>
          <w:rtl w:val="1"/>
        </w:rPr>
        <w:t xml:space="preserve">فقال: يُوشِكُ أَهلُ العِراق أن لا يُجبَى إليهم قَفيزٌ ولا درهمٌ، قلنا: مِن أين ذاك؟ قال: من قِبَل العجم. يَمنعونَ ذاك.  </w:t>
      </w:r>
      <w:r>
        <w:rPr>
          <w:color w:val="FF0000"/>
          <w:rtl w:val="1"/>
        </w:rPr>
        <w:t xml:space="preserve">ثم قال: يوشِك أهل الشّأم أن لا يُجبَى إليهم دينارٌ ولا مُدْيٌ. قلنا: مِن أين ذاك؟ قال: من قِبَل الرُّوم.  </w:t>
      </w:r>
      <w:r>
        <w:rPr>
          <w:color w:val="FF0000"/>
          <w:rtl w:val="1"/>
        </w:rPr>
        <w:t xml:space="preserve">ثم أَسكتَ هُنَيّةً، ثم قال: قالَ رسولُ الله ﷺ: «يكونُ في آخرِ أُمّتي خليفةٌ يَحثِي المالَ حَثْيًا، لا يَعُدُّه عددًا». قال: قلت لأبي نضرة وأبي العلاء: أَتريانِ أنّه عمر بنُ عبد العزيز؟ فقالا: لا. </w:t>
      </w:r>
    </w:p>
    <w:p>
      <w:pPr>
        <w:bidi w:val="1"/>
        <w:jc w:val="start"/>
      </w:pPr>
      <w:r>
        <w:rPr>
          <w:rtl w:val="1"/>
        </w:rPr>
        <w:t>الشرح: الدلالة: ما ورد في الأمم والشعوب</w:t>
      </w:r>
    </w:p>
    <w:p>
      <w:pPr>
        <w:bidi w:val="1"/>
        <w:jc w:val="start"/>
      </w:pPr>
      <w:r>
        <w:rPr>
          <w:rtl w:val="1"/>
        </w:rPr>
        <w:t>الشرح: الدلالة: ما ورد في العجم - ما ورد في الأمم والشعوب</w:t>
      </w:r>
    </w:p>
    <w:p>
      <w:pPr>
        <w:bidi w:val="1"/>
        <w:jc w:val="start"/>
      </w:pPr>
      <w:r>
        <w:rPr>
          <w:rtl w:val="1"/>
        </w:rPr>
        <w:t>الشرح: الدلالة: ما ورد في الفرس - ما ورد في الأمم والشعوب</w:t>
      </w:r>
    </w:p>
    <w:p>
      <w:pPr>
        <w:bidi w:val="1"/>
        <w:jc w:val="start"/>
      </w:pPr>
      <w:r>
        <w:rPr>
          <w:rtl w:val="1"/>
        </w:rPr>
        <w:t>الشرح: الدلالة: ما ورد في سائر الأمم والشعوب - ما ورد في الأمم والشعوب</w:t>
      </w:r>
    </w:p>
    <w:p>
      <w:pPr>
        <w:bidi w:val="1"/>
        <w:jc w:val="start"/>
      </w:pPr>
      <w:r>
        <w:rPr>
          <w:rtl w:val="1"/>
        </w:rPr>
        <w:t>الشرح: الدلالة: التغير الاجتماعي - الأساس الاجتماعي للمنهاج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جباية الأموال وإنفاقها - واجبات رئيس الدولة</w:t>
      </w:r>
    </w:p>
    <w:p>
      <w:pPr>
        <w:bidi w:val="1"/>
        <w:jc w:val="start"/>
      </w:pPr>
      <w:r>
        <w:rPr>
          <w:rtl w:val="1"/>
        </w:rPr>
        <w:t>الشرح: الدلالة: المبحث الثالث: الفتن وأشراط الساعة الصغرى المتعلقة بالشام والعراق - الـفـتـن المتعلقة بالقتال والملاحم</w:t>
      </w:r>
    </w:p>
    <w:p>
      <w:pPr>
        <w:bidi w:val="1"/>
        <w:jc w:val="start"/>
      </w:pPr>
      <w:r>
        <w:rPr>
          <w:rtl w:val="1"/>
        </w:rPr>
        <w:t>الشرح: الدلالة: الفصل الأول: المهدي صفاته وأعماله وخروجه وما يصاحبه - أشراط الساعة الكبرى والفتن المتعلقة بها</w:t>
      </w:r>
    </w:p>
    <w:p>
      <w:pPr>
        <w:bidi w:val="1"/>
        <w:jc w:val="start"/>
      </w:pPr>
      <w:r>
        <w:rPr>
          <w:rtl w:val="1"/>
        </w:rPr>
        <w:t>الشرح: الدلالة: الفصل الثاني: بشائر انتصار الإسلام وتمكينه في الأرض - البشائر في انتصار الإسلام وتمكينه وقيام الخلافة الراشدة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