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وضوء الصبيان ومتى يجب عليهم الغسل-كتاب الصلاة-صحيح البخاري — رقم الحديث: 857 — الرقم الفرعي: 99 — الرقم الأصلي: 857</w:t>
        <w:br/>
      </w:r>
      <w:r>
        <w:rPr>
          <w:rtl w:val="1"/>
        </w:rPr>
        <w:t xml:space="preserve"> حدثنا ابن المثنى قال:حدثني غندر قال:حدثنا شعبة قال:سمعت سليمان الشيبانيّ قال:سمعت الشعبيّ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أَخبَرني مَن مَرَّ معَ النّبيِّ ﷺ على قَبْرٍ مَنبُوذٍ فأَمَّهم وصَفُّوا عليه.  </w:t>
      </w:r>
      <w:r>
        <w:rPr>
          <w:color w:val="000000"/>
          <w:rtl w:val="1"/>
        </w:rPr>
        <w:t xml:space="preserve">فقلتُ: يا أبا عَمرٍو، مَن حَدَّثَكَ؟ فقال: ابنُ عبَّاسٍ.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الصلاة على القبر - صلاة الجنازة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