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كيفية الخلق الآدميّ،في بطن أمه-كتاب القدر-صحيح مسلم — رقم الحديث: 2651 — الرقم الفرعي: 99 — الرقم الأصلي: 2651</w:t>
        <w:br/>
      </w:r>
      <w:r>
        <w:rPr>
          <w:rtl w:val="1"/>
        </w:rPr>
        <w:t xml:space="preserve"> حدثنا قتيبة بن سعيد حدثنا عبد العزيز ملاحظة يعني ابن محمد عن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«إنَّ الرجلَ لَيَعملُ الزمنَ الطويلَ بعَمَلِ أَهلِ الجَنَّة، ثم يُختم عَمَلُه بعَمَلِ أَهلِ النارِ.  </w:t>
      </w:r>
      <w:r>
        <w:rPr>
          <w:color w:val="FF0000"/>
          <w:rtl w:val="1"/>
        </w:rPr>
        <w:t xml:space="preserve">وإنَّ الرجلَ لَيعملُ الزمنَ الطَّويلَ بعمَلِ أهلِ النار، ثم يُختم له عَملُه بعمل أَهل الجنة».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الخواتيم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النار-----------------------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