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جحاء في الكفاف والصبر عليه-كتاب الزهد-سنن الترمذي — رقم الحديث: 2347 — الرقم الفرعي: 1 — الرقم الأصلي: 2348</w:t>
        <w:br/>
      </w:r>
      <w:r>
        <w:rPr>
          <w:rtl w:val="1"/>
        </w:rPr>
        <w:t xml:space="preserve"> أخبرنا سويد بن نصر أخبرنا عبد الله بن المبارك عن يحيى بن أيوب عن عبيد الله بن زَحْر عن عليّ بن يزيد عن القاسم أبي عبد الرحمن عن أبي أُمامة عن النبيّ صلى الله عليه وسلم</w:t>
        <w:br/>
      </w:r>
      <w:r>
        <w:rPr>
          <w:color w:val="000000"/>
          <w:rtl w:val="1"/>
        </w:rPr>
        <w:t xml:space="preserve">قال:  </w:t>
      </w:r>
      <w:r>
        <w:rPr>
          <w:color w:val="FF0000"/>
          <w:rtl w:val="1"/>
        </w:rPr>
        <w:t xml:space="preserve">«إنَّ أغبَطَ أوليائِي عِندِي لَمُؤمنٌ خَفِيفُ الحَاذِ، ذو حَظٍّ من الصَّلاةِ،  </w:t>
      </w:r>
      <w:r>
        <w:rPr>
          <w:color w:val="FF0000"/>
          <w:rtl w:val="1"/>
        </w:rPr>
        <w:t xml:space="preserve">أحسَنَ عِبادةَ ربِّهِ،  </w:t>
      </w:r>
      <w:r>
        <w:rPr>
          <w:color w:val="FF0000"/>
          <w:rtl w:val="1"/>
        </w:rPr>
        <w:t xml:space="preserve">وأَطاعَهُ في السِّرّ،  </w:t>
      </w:r>
      <w:r>
        <w:rPr>
          <w:color w:val="FF0000"/>
          <w:rtl w:val="1"/>
        </w:rPr>
        <w:t xml:space="preserve">وكان غامضًا في الناسِ لا يُشارُ إليهِ بالأصابِعِ،  </w:t>
      </w:r>
      <w:r>
        <w:rPr>
          <w:color w:val="FF0000"/>
          <w:rtl w:val="1"/>
        </w:rPr>
        <w:t xml:space="preserve">وكان رِزْقُه كَفافًا فصَبَرَ على ذلك»،  </w:t>
      </w:r>
      <w:r>
        <w:rPr>
          <w:color w:val="FF0000"/>
          <w:rtl w:val="1"/>
        </w:rPr>
        <w:t xml:space="preserve">ثُم نَقَرَ بيدِه فقال: «عُجِّلَتْ مَنِيَّتُه، قَلَّتْ بَواكِيهِ، قَلَّ تُراثُه». </w:t>
      </w:r>
    </w:p>
    <w:p>
      <w:pPr>
        <w:bidi w:val="1"/>
        <w:jc w:val="start"/>
      </w:pPr>
      <w:r>
        <w:rPr>
          <w:rtl w:val="1"/>
        </w:rPr>
        <w:t xml:space="preserve">درجة الحديث: إسناده ضعيف </w:t>
      </w:r>
    </w:p>
    <w:p>
      <w:pPr>
        <w:bidi w:val="1"/>
        <w:jc w:val="start"/>
      </w:pPr>
      <w:r>
        <w:rPr>
          <w:rtl w:val="1"/>
        </w:rPr>
        <w:t>الشرح: الدلالة: الخوف من الله - القيم والأخلاق المحمودة</w:t>
      </w:r>
    </w:p>
    <w:p>
      <w:pPr>
        <w:bidi w:val="1"/>
        <w:jc w:val="start"/>
      </w:pPr>
      <w:r>
        <w:rPr>
          <w:rtl w:val="1"/>
        </w:rPr>
        <w:t>الشرح: الدلالة: الورع والزهد - القيم والأخلاق المحمودة</w:t>
      </w:r>
    </w:p>
    <w:p>
      <w:pPr>
        <w:bidi w:val="1"/>
        <w:jc w:val="start"/>
      </w:pPr>
      <w:r>
        <w:rPr>
          <w:rtl w:val="1"/>
        </w:rPr>
        <w:t>الشرح: الدلالة: طاعة الله وطاعة رسوله صلى الله عليه وسلم - القيم والأخلاق المحمودة</w:t>
      </w:r>
    </w:p>
    <w:p>
      <w:pPr>
        <w:bidi w:val="1"/>
        <w:jc w:val="start"/>
      </w:pPr>
      <w:r>
        <w:rPr>
          <w:rtl w:val="1"/>
        </w:rPr>
        <w:t>الشرح: الدلالة: القناعة - القيم والأخلاق المحمودة</w:t>
      </w:r>
    </w:p>
    <w:p>
      <w:pPr>
        <w:bidi w:val="1"/>
        <w:jc w:val="start"/>
      </w:pPr>
      <w:r>
        <w:rPr>
          <w:rtl w:val="1"/>
        </w:rPr>
        <w:t>الشرح: الدلالة: إيثار الآخرة على الدنيا. - القيم والأخلاق المحمودة</w:t>
      </w:r>
    </w:p>
    <w:p>
      <w:pPr>
        <w:bidi w:val="1"/>
        <w:jc w:val="start"/>
      </w:pPr>
      <w:r>
        <w:rPr>
          <w:rtl w:val="1"/>
        </w:rPr>
        <w:t>الشرح: الدلالة: صفات الداعي المكتسبة (الخلقية) يحال إلى الأخلاق</w:t>
      </w:r>
    </w:p>
    <w:p>
      <w:pPr>
        <w:bidi w:val="1"/>
        <w:jc w:val="start"/>
      </w:pPr>
      <w:r>
        <w:rPr>
          <w:rtl w:val="1"/>
        </w:rPr>
        <w:t>الشرح: الدلالة: الرجاء والخوف - مظاهر توحيد الألوهية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كنى المحدثين - أسماء الرواة وكناهم وألقابهم وأنسابهم</w:t>
      </w:r>
    </w:p>
    <w:p>
      <w:pPr>
        <w:bidi w:val="1"/>
        <w:jc w:val="start"/>
      </w:pPr>
      <w:r>
        <w:rPr>
          <w:rtl w:val="1"/>
        </w:rPr>
        <w:t>الشرح: الدلالة: الأولياء والصديقون - درجات الإيمان</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الحاجة إلى الكمال الإنساني - حاجات المتعلمين</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توظيف الأدوات والمواد البيئية المختلفة - الوسائل التعليمية</w:t>
      </w:r>
    </w:p>
    <w:p>
      <w:pPr>
        <w:bidi w:val="1"/>
        <w:jc w:val="start"/>
      </w:pPr>
      <w:r>
        <w:rPr>
          <w:rtl w:val="1"/>
        </w:rPr>
        <w:t>الشرح: الدلالة: العدالة - من تقبل روايته - من تقبل روايته</w:t>
      </w:r>
    </w:p>
    <w:p>
      <w:pPr>
        <w:bidi w:val="1"/>
        <w:jc w:val="start"/>
      </w:pPr>
      <w:r>
        <w:rPr>
          <w:rtl w:val="1"/>
        </w:rPr>
        <w:t>الشرح: الدلالة: الضبط - من تقبل روايته</w:t>
      </w:r>
    </w:p>
    <w:p>
      <w:pPr>
        <w:bidi w:val="1"/>
        <w:jc w:val="start"/>
      </w:pPr>
      <w:r>
        <w:rPr>
          <w:rtl w:val="1"/>
        </w:rPr>
        <w:t>الشرح: الدلالة: ثقة - أقسام الرواة جرحا وتعديلا</w:t>
      </w:r>
    </w:p>
    <w:p>
      <w:pPr>
        <w:bidi w:val="1"/>
        <w:jc w:val="start"/>
      </w:pPr>
      <w:r>
        <w:rPr>
          <w:rtl w:val="1"/>
        </w:rPr>
        <w:t>الشرح: الدلالة: مجهول - أقسام الرواة جرحا وتعديلا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